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A37D9">
      <w:pPr>
        <w:spacing w:after="156" w:afterLines="50" w:line="560" w:lineRule="exact"/>
        <w:jc w:val="center"/>
        <w:outlineLvl w:val="0"/>
        <w:rPr>
          <w:rFonts w:ascii="Times New Roman" w:hAnsi="Times New Roman" w:eastAsia="方正小标宋简体"/>
          <w:b/>
          <w:sz w:val="52"/>
          <w:szCs w:val="52"/>
        </w:rPr>
      </w:pPr>
    </w:p>
    <w:p w14:paraId="57AA1ED6">
      <w:pPr>
        <w:spacing w:after="156" w:afterLines="50" w:line="560" w:lineRule="exact"/>
        <w:jc w:val="center"/>
        <w:outlineLvl w:val="0"/>
        <w:rPr>
          <w:rFonts w:ascii="Times New Roman" w:hAnsi="Times New Roman" w:eastAsia="方正小标宋简体"/>
          <w:b/>
          <w:sz w:val="52"/>
          <w:szCs w:val="52"/>
        </w:rPr>
      </w:pPr>
    </w:p>
    <w:p w14:paraId="2B8BF010">
      <w:pPr>
        <w:pStyle w:val="2"/>
        <w:rPr>
          <w:rFonts w:ascii="Times New Roman" w:hAnsi="Times New Roman" w:eastAsia="方正小标宋简体"/>
          <w:b/>
          <w:sz w:val="52"/>
          <w:szCs w:val="52"/>
        </w:rPr>
      </w:pPr>
    </w:p>
    <w:p w14:paraId="0710F5FA"/>
    <w:p w14:paraId="53465671">
      <w:pPr>
        <w:spacing w:after="156" w:afterLines="50" w:line="560" w:lineRule="exact"/>
        <w:jc w:val="center"/>
        <w:outlineLvl w:val="0"/>
        <w:rPr>
          <w:rFonts w:ascii="Times New Roman" w:hAnsi="Times New Roman" w:eastAsia="方正小标宋简体"/>
          <w:b/>
          <w:sz w:val="52"/>
          <w:szCs w:val="52"/>
        </w:rPr>
      </w:pPr>
      <w:r>
        <w:rPr>
          <w:rFonts w:ascii="Times New Roman" w:hAnsi="Times New Roman" w:eastAsia="方正小标宋简体"/>
          <w:b/>
          <w:sz w:val="52"/>
          <w:szCs w:val="52"/>
        </w:rPr>
        <w:t>学位授权点建设年度报告</w:t>
      </w:r>
    </w:p>
    <w:p w14:paraId="4C6F162D">
      <w:pPr>
        <w:spacing w:after="156" w:afterLines="50" w:line="560" w:lineRule="exact"/>
        <w:jc w:val="center"/>
        <w:rPr>
          <w:rFonts w:ascii="Times New Roman" w:hAnsi="Times New Roman" w:eastAsia="方正小标宋简体"/>
          <w:b/>
          <w:sz w:val="44"/>
          <w:szCs w:val="44"/>
        </w:rPr>
      </w:pPr>
      <w:r>
        <w:rPr>
          <w:rFonts w:ascii="Times New Roman" w:hAnsi="Times New Roman" w:eastAsia="方正小标宋简体"/>
          <w:b/>
          <w:sz w:val="44"/>
          <w:szCs w:val="44"/>
        </w:rPr>
        <w:t>（2022年）</w:t>
      </w:r>
    </w:p>
    <w:p w14:paraId="5CB2901E">
      <w:pPr>
        <w:spacing w:after="156" w:afterLines="50" w:line="560" w:lineRule="exact"/>
        <w:jc w:val="center"/>
        <w:rPr>
          <w:rFonts w:ascii="Times New Roman" w:hAnsi="Times New Roman" w:eastAsia="方正小标宋简体"/>
          <w:b/>
          <w:sz w:val="44"/>
          <w:szCs w:val="44"/>
        </w:rPr>
      </w:pPr>
    </w:p>
    <w:tbl>
      <w:tblPr>
        <w:tblStyle w:val="10"/>
        <w:tblW w:w="5335"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75"/>
      </w:tblGrid>
      <w:tr w14:paraId="296A4A1E">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vAlign w:val="center"/>
          </w:tcPr>
          <w:p w14:paraId="494FAB96">
            <w:pPr>
              <w:spacing w:line="200" w:lineRule="atLeast"/>
              <w:jc w:val="distribute"/>
              <w:rPr>
                <w:rFonts w:ascii="Times New Roman" w:hAnsi="Times New Roman" w:eastAsia="楷体_GB2312"/>
                <w:b/>
                <w:kern w:val="0"/>
                <w:sz w:val="30"/>
                <w:szCs w:val="30"/>
              </w:rPr>
            </w:pPr>
            <w:r>
              <w:rPr>
                <w:rFonts w:ascii="Times New Roman" w:hAnsi="Times New Roman" w:eastAsia="楷体_GB2312"/>
                <w:b/>
                <w:kern w:val="0"/>
                <w:sz w:val="30"/>
                <w:szCs w:val="30"/>
              </w:rPr>
              <w:t>学位授予单位</w:t>
            </w:r>
          </w:p>
        </w:tc>
        <w:tc>
          <w:tcPr>
            <w:tcW w:w="3175" w:type="dxa"/>
            <w:tcBorders>
              <w:bottom w:val="single" w:color="auto" w:sz="4" w:space="0"/>
            </w:tcBorders>
            <w:shd w:val="clear" w:color="auto" w:fill="auto"/>
            <w:vAlign w:val="center"/>
          </w:tcPr>
          <w:p w14:paraId="1076676C">
            <w:pPr>
              <w:rPr>
                <w:rFonts w:ascii="Times New Roman" w:hAnsi="Times New Roman" w:eastAsia="楷体_GB2312"/>
                <w:b/>
                <w:kern w:val="0"/>
                <w:sz w:val="30"/>
                <w:szCs w:val="30"/>
              </w:rPr>
            </w:pPr>
            <w:r>
              <w:rPr>
                <w:rFonts w:ascii="Times New Roman" w:hAnsi="Times New Roman" w:eastAsia="楷体_GB2312"/>
                <w:b/>
                <w:kern w:val="0"/>
                <w:sz w:val="30"/>
                <w:szCs w:val="30"/>
              </w:rPr>
              <w:t>名称：河南中医药大学</w:t>
            </w:r>
          </w:p>
        </w:tc>
      </w:tr>
      <w:tr w14:paraId="28A9E680">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tcPr>
          <w:p w14:paraId="6DAA16FF">
            <w:pPr>
              <w:jc w:val="center"/>
              <w:rPr>
                <w:rFonts w:ascii="Times New Roman" w:hAnsi="Times New Roman" w:eastAsia="楷体_GB2312"/>
                <w:b/>
                <w:kern w:val="0"/>
                <w:sz w:val="30"/>
                <w:szCs w:val="30"/>
              </w:rPr>
            </w:pPr>
          </w:p>
        </w:tc>
        <w:tc>
          <w:tcPr>
            <w:tcW w:w="3175" w:type="dxa"/>
            <w:tcBorders>
              <w:top w:val="single" w:color="auto" w:sz="4" w:space="0"/>
            </w:tcBorders>
            <w:shd w:val="clear" w:color="auto" w:fill="auto"/>
            <w:vAlign w:val="center"/>
          </w:tcPr>
          <w:p w14:paraId="31411406">
            <w:pPr>
              <w:rPr>
                <w:rFonts w:ascii="Times New Roman" w:hAnsi="Times New Roman" w:eastAsia="楷体_GB2312"/>
                <w:b/>
                <w:kern w:val="0"/>
                <w:sz w:val="30"/>
                <w:szCs w:val="30"/>
              </w:rPr>
            </w:pPr>
            <w:r>
              <w:rPr>
                <w:rFonts w:ascii="Times New Roman" w:hAnsi="Times New Roman" w:eastAsia="楷体_GB2312"/>
                <w:b/>
                <w:kern w:val="0"/>
                <w:sz w:val="30"/>
                <w:szCs w:val="30"/>
              </w:rPr>
              <w:t>代码：    10471</w:t>
            </w:r>
          </w:p>
        </w:tc>
      </w:tr>
    </w:tbl>
    <w:p w14:paraId="18FC7872">
      <w:pPr>
        <w:spacing w:line="720" w:lineRule="auto"/>
        <w:jc w:val="center"/>
        <w:rPr>
          <w:rFonts w:ascii="Times New Roman" w:hAnsi="Times New Roman" w:eastAsia="楷体_GB2312"/>
          <w:b/>
          <w:sz w:val="30"/>
          <w:szCs w:val="30"/>
        </w:rPr>
      </w:pPr>
    </w:p>
    <w:tbl>
      <w:tblPr>
        <w:tblStyle w:val="10"/>
        <w:tblW w:w="5349"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89"/>
      </w:tblGrid>
      <w:tr w14:paraId="70B86091">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PrEx>
        <w:tc>
          <w:tcPr>
            <w:tcW w:w="2160" w:type="dxa"/>
            <w:vMerge w:val="restart"/>
            <w:shd w:val="clear" w:color="auto" w:fill="auto"/>
            <w:vAlign w:val="center"/>
          </w:tcPr>
          <w:p w14:paraId="28A56CE1">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授权学科</w:t>
            </w:r>
          </w:p>
          <w:p w14:paraId="6D4EC7CE">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（类别）</w:t>
            </w:r>
          </w:p>
        </w:tc>
        <w:tc>
          <w:tcPr>
            <w:tcW w:w="3189" w:type="dxa"/>
            <w:tcBorders>
              <w:bottom w:val="single" w:color="auto" w:sz="4" w:space="0"/>
            </w:tcBorders>
            <w:shd w:val="clear" w:color="auto" w:fill="auto"/>
            <w:vAlign w:val="center"/>
          </w:tcPr>
          <w:p w14:paraId="02542266">
            <w:pPr>
              <w:rPr>
                <w:rFonts w:ascii="Times New Roman" w:hAnsi="Times New Roman" w:eastAsia="楷体_GB2312"/>
                <w:b/>
                <w:kern w:val="0"/>
                <w:sz w:val="30"/>
                <w:szCs w:val="30"/>
              </w:rPr>
            </w:pPr>
            <w:r>
              <w:rPr>
                <w:rFonts w:ascii="Times New Roman" w:hAnsi="Times New Roman" w:eastAsia="楷体_GB2312"/>
                <w:b/>
                <w:kern w:val="0"/>
                <w:sz w:val="30"/>
                <w:szCs w:val="30"/>
              </w:rPr>
              <w:t>名称：临床医学</w:t>
            </w:r>
          </w:p>
        </w:tc>
      </w:tr>
      <w:tr w14:paraId="7CE07FAB">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tcPr>
          <w:p w14:paraId="6C5D9FC0">
            <w:pPr>
              <w:jc w:val="center"/>
              <w:rPr>
                <w:rFonts w:ascii="Times New Roman" w:hAnsi="Times New Roman" w:eastAsia="楷体_GB2312"/>
                <w:b/>
                <w:kern w:val="0"/>
                <w:sz w:val="30"/>
                <w:szCs w:val="30"/>
              </w:rPr>
            </w:pPr>
          </w:p>
        </w:tc>
        <w:tc>
          <w:tcPr>
            <w:tcW w:w="3189" w:type="dxa"/>
            <w:tcBorders>
              <w:top w:val="single" w:color="auto" w:sz="4" w:space="0"/>
            </w:tcBorders>
            <w:shd w:val="clear" w:color="auto" w:fill="auto"/>
            <w:vAlign w:val="center"/>
          </w:tcPr>
          <w:p w14:paraId="5EC66A15">
            <w:pPr>
              <w:rPr>
                <w:rFonts w:ascii="Times New Roman" w:hAnsi="Times New Roman" w:eastAsia="楷体_GB2312"/>
                <w:b/>
                <w:kern w:val="0"/>
                <w:sz w:val="30"/>
                <w:szCs w:val="30"/>
              </w:rPr>
            </w:pPr>
            <w:r>
              <w:rPr>
                <w:rFonts w:ascii="Times New Roman" w:hAnsi="Times New Roman" w:eastAsia="楷体_GB2312"/>
                <w:b/>
                <w:kern w:val="0"/>
                <w:sz w:val="30"/>
                <w:szCs w:val="30"/>
              </w:rPr>
              <w:t>代码：1002</w:t>
            </w:r>
          </w:p>
        </w:tc>
      </w:tr>
    </w:tbl>
    <w:p w14:paraId="4B8EAD5E">
      <w:pPr>
        <w:spacing w:line="720" w:lineRule="auto"/>
        <w:jc w:val="center"/>
        <w:rPr>
          <w:rFonts w:ascii="Times New Roman" w:hAnsi="Times New Roman" w:eastAsia="楷体_GB2312"/>
          <w:b/>
          <w:sz w:val="30"/>
          <w:szCs w:val="30"/>
        </w:rPr>
      </w:pPr>
    </w:p>
    <w:tbl>
      <w:tblPr>
        <w:tblStyle w:val="10"/>
        <w:tblW w:w="5322" w:type="dxa"/>
        <w:tblInd w:w="172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2160"/>
        <w:gridCol w:w="3162"/>
      </w:tblGrid>
      <w:tr w14:paraId="502DEC97">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restart"/>
            <w:shd w:val="clear" w:color="auto" w:fill="auto"/>
            <w:vAlign w:val="center"/>
          </w:tcPr>
          <w:p w14:paraId="3B9DDEDE">
            <w:pPr>
              <w:jc w:val="distribute"/>
              <w:rPr>
                <w:rFonts w:ascii="Times New Roman" w:hAnsi="Times New Roman" w:eastAsia="楷体_GB2312"/>
                <w:b/>
                <w:kern w:val="0"/>
                <w:sz w:val="30"/>
                <w:szCs w:val="30"/>
              </w:rPr>
            </w:pPr>
            <w:r>
              <w:rPr>
                <w:rFonts w:ascii="Times New Roman" w:hAnsi="Times New Roman" w:eastAsia="楷体_GB2312"/>
                <w:b/>
                <w:kern w:val="0"/>
                <w:sz w:val="30"/>
                <w:szCs w:val="30"/>
              </w:rPr>
              <w:t>授权级别</w:t>
            </w:r>
          </w:p>
        </w:tc>
        <w:tc>
          <w:tcPr>
            <w:tcW w:w="3162" w:type="dxa"/>
            <w:tcBorders>
              <w:bottom w:val="single" w:color="auto" w:sz="4" w:space="0"/>
            </w:tcBorders>
            <w:shd w:val="clear" w:color="auto" w:fill="auto"/>
            <w:vAlign w:val="center"/>
          </w:tcPr>
          <w:p w14:paraId="327BBDD2">
            <w:pPr>
              <w:rPr>
                <w:rFonts w:ascii="Times New Roman" w:hAnsi="Times New Roman" w:eastAsia="楷体_GB2312"/>
                <w:b/>
                <w:kern w:val="0"/>
                <w:sz w:val="30"/>
                <w:szCs w:val="30"/>
              </w:rPr>
            </w:pPr>
            <w:r>
              <w:rPr>
                <w:rFonts w:ascii="Times New Roman" w:hAnsi="Times New Roman" w:eastAsia="楷体_GB2312"/>
                <w:b/>
                <w:kern w:val="0"/>
                <w:sz w:val="30"/>
                <w:szCs w:val="30"/>
              </w:rPr>
              <w:t>□  博  士</w:t>
            </w:r>
          </w:p>
        </w:tc>
      </w:tr>
      <w:tr w14:paraId="5BA323E8">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c>
          <w:tcPr>
            <w:tcW w:w="2160" w:type="dxa"/>
            <w:vMerge w:val="continue"/>
            <w:shd w:val="clear" w:color="auto" w:fill="auto"/>
          </w:tcPr>
          <w:p w14:paraId="0CDA4BC1">
            <w:pPr>
              <w:jc w:val="center"/>
              <w:rPr>
                <w:rFonts w:ascii="Times New Roman" w:hAnsi="Times New Roman" w:eastAsia="楷体_GB2312"/>
                <w:b/>
                <w:kern w:val="0"/>
                <w:sz w:val="30"/>
                <w:szCs w:val="30"/>
              </w:rPr>
            </w:pPr>
          </w:p>
        </w:tc>
        <w:tc>
          <w:tcPr>
            <w:tcW w:w="3162" w:type="dxa"/>
            <w:tcBorders>
              <w:top w:val="single" w:color="auto" w:sz="4" w:space="0"/>
            </w:tcBorders>
            <w:shd w:val="clear" w:color="auto" w:fill="auto"/>
            <w:vAlign w:val="center"/>
          </w:tcPr>
          <w:p w14:paraId="2D98D7FF">
            <w:pPr>
              <w:rPr>
                <w:rFonts w:ascii="Times New Roman" w:hAnsi="Times New Roman" w:eastAsia="楷体_GB2312"/>
                <w:b/>
                <w:kern w:val="0"/>
                <w:sz w:val="30"/>
                <w:szCs w:val="30"/>
              </w:rPr>
            </w:pPr>
            <w:r>
              <w:rPr>
                <w:rFonts w:ascii="Times New Roman" w:hAnsi="Times New Roman" w:eastAsia="楷体_GB2312"/>
                <w:b/>
                <w:kern w:val="0"/>
                <w:sz w:val="30"/>
                <w:szCs w:val="30"/>
              </w:rPr>
              <w:t>☑  硕  士</w:t>
            </w:r>
          </w:p>
        </w:tc>
      </w:tr>
    </w:tbl>
    <w:p w14:paraId="1CA5660E">
      <w:pPr>
        <w:rPr>
          <w:rFonts w:ascii="Times New Roman" w:hAnsi="Times New Roman" w:eastAsia="楷体_GB2312"/>
          <w:b/>
          <w:sz w:val="30"/>
          <w:szCs w:val="30"/>
        </w:rPr>
      </w:pPr>
    </w:p>
    <w:p w14:paraId="61524FFC">
      <w:pPr>
        <w:pStyle w:val="2"/>
      </w:pPr>
      <w:bookmarkStart w:id="41" w:name="_GoBack"/>
      <w:bookmarkEnd w:id="41"/>
    </w:p>
    <w:p w14:paraId="1048FAB6">
      <w:pPr>
        <w:jc w:val="center"/>
        <w:rPr>
          <w:rFonts w:ascii="Times New Roman" w:hAnsi="Times New Roman" w:eastAsia="楷体_GB2312"/>
          <w:b/>
          <w:sz w:val="30"/>
          <w:szCs w:val="30"/>
        </w:rPr>
      </w:pPr>
    </w:p>
    <w:p w14:paraId="02F0FD0B">
      <w:pPr>
        <w:jc w:val="center"/>
        <w:rPr>
          <w:rFonts w:ascii="Times New Roman" w:hAnsi="Times New Roman" w:eastAsia="楷体_GB2312"/>
          <w:b/>
          <w:sz w:val="30"/>
          <w:szCs w:val="30"/>
        </w:rPr>
        <w:sectPr>
          <w:pgSz w:w="11906" w:h="16838"/>
          <w:pgMar w:top="1440" w:right="1800" w:bottom="1440" w:left="1800" w:header="851" w:footer="992" w:gutter="0"/>
          <w:pgNumType w:start="1"/>
          <w:cols w:space="425" w:num="1"/>
          <w:docGrid w:type="lines" w:linePitch="312" w:charSpace="0"/>
        </w:sectPr>
      </w:pPr>
      <w:r>
        <w:rPr>
          <w:rFonts w:ascii="Times New Roman" w:hAnsi="Times New Roman" w:eastAsia="楷体_GB2312"/>
          <w:b/>
          <w:sz w:val="30"/>
          <w:szCs w:val="30"/>
        </w:rPr>
        <w:t>2022年</w:t>
      </w:r>
      <w:r>
        <w:rPr>
          <w:rFonts w:hint="eastAsia" w:ascii="Times New Roman" w:hAnsi="Times New Roman" w:eastAsia="楷体_GB2312"/>
          <w:b/>
          <w:sz w:val="30"/>
          <w:szCs w:val="30"/>
        </w:rPr>
        <w:t>12</w:t>
      </w:r>
      <w:r>
        <w:rPr>
          <w:rFonts w:ascii="Times New Roman" w:hAnsi="Times New Roman" w:eastAsia="楷体_GB2312"/>
          <w:b/>
          <w:sz w:val="30"/>
          <w:szCs w:val="30"/>
        </w:rPr>
        <w:t>月</w:t>
      </w:r>
      <w:r>
        <w:rPr>
          <w:rFonts w:hint="eastAsia" w:ascii="Times New Roman" w:hAnsi="Times New Roman" w:eastAsia="楷体_GB2312"/>
          <w:b/>
          <w:sz w:val="30"/>
          <w:szCs w:val="30"/>
          <w:lang w:val="en-US" w:eastAsia="zh-CN"/>
        </w:rPr>
        <w:t>31</w:t>
      </w:r>
      <w:r>
        <w:rPr>
          <w:rFonts w:ascii="Times New Roman" w:hAnsi="Times New Roman" w:eastAsia="楷体_GB2312"/>
          <w:b/>
          <w:sz w:val="30"/>
          <w:szCs w:val="30"/>
        </w:rPr>
        <w:t>日</w:t>
      </w:r>
    </w:p>
    <w:p w14:paraId="15D3EB09">
      <w:pPr>
        <w:spacing w:before="156" w:beforeLines="50" w:after="156" w:afterLines="50" w:line="520" w:lineRule="exact"/>
        <w:jc w:val="left"/>
        <w:outlineLvl w:val="0"/>
        <w:rPr>
          <w:rFonts w:ascii="Times New Roman" w:hAnsi="Times New Roman" w:eastAsia="黑体"/>
          <w:bCs/>
          <w:sz w:val="28"/>
          <w:szCs w:val="28"/>
        </w:rPr>
      </w:pPr>
      <w:r>
        <w:rPr>
          <w:rFonts w:ascii="Times New Roman" w:hAnsi="Times New Roman" w:eastAsia="黑体"/>
          <w:bCs/>
          <w:sz w:val="28"/>
          <w:szCs w:val="28"/>
        </w:rPr>
        <w:t>一、学位授权点基本情况</w:t>
      </w:r>
    </w:p>
    <w:p w14:paraId="7DEC6765">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ascii="Times New Roman" w:hAnsi="Times New Roman" w:eastAsia="楷体_GB2312"/>
          <w:b/>
          <w:bCs/>
          <w:sz w:val="28"/>
          <w:szCs w:val="28"/>
        </w:rPr>
        <w:t>（一）学位点建设进展情况</w:t>
      </w:r>
    </w:p>
    <w:p w14:paraId="7147978F">
      <w:pPr>
        <w:widowControl/>
        <w:spacing w:line="52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临床医学是一门历史悠久的学科，临床医学硕士学位点是我校学位点建设当中的新生力量，具有相当的发展潜力。根据教育部的具体要求</w:t>
      </w:r>
      <w:r>
        <w:rPr>
          <w:rFonts w:hint="eastAsia" w:ascii="Times New Roman" w:hAnsi="Times New Roman" w:eastAsia="仿宋_GB2312"/>
          <w:sz w:val="28"/>
          <w:szCs w:val="28"/>
          <w:lang w:eastAsia="zh-CN"/>
        </w:rPr>
        <w:t>，</w:t>
      </w:r>
      <w:r>
        <w:rPr>
          <w:rFonts w:ascii="Times New Roman" w:hAnsi="Times New Roman" w:eastAsia="仿宋_GB2312"/>
          <w:sz w:val="28"/>
          <w:szCs w:val="28"/>
        </w:rPr>
        <w:t>结合中医药大学的发展特点，立足国际研究前沿和社会实践需求</w:t>
      </w:r>
      <w:r>
        <w:rPr>
          <w:rFonts w:hint="eastAsia" w:ascii="Times New Roman" w:hAnsi="Times New Roman" w:eastAsia="仿宋_GB2312"/>
          <w:sz w:val="28"/>
          <w:szCs w:val="28"/>
          <w:lang w:eastAsia="zh-CN"/>
        </w:rPr>
        <w:t>，</w:t>
      </w:r>
      <w:r>
        <w:rPr>
          <w:rFonts w:ascii="Times New Roman" w:hAnsi="Times New Roman" w:eastAsia="仿宋_GB2312"/>
          <w:sz w:val="28"/>
          <w:szCs w:val="28"/>
        </w:rPr>
        <w:t>提出学位点研究生的培养目标和培养理念，不断完善和优化培养方案，培养创新型基础研究和应用研究人才。</w:t>
      </w:r>
    </w:p>
    <w:p w14:paraId="5ED439DF">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河南中医药大学2012年获得临床医学一级学科硕士学位授予权，于2012年开始招收临床医学学术型硕士生，2012年获批河南省第八批一级重点学科，2017年获批河南省第九批一级重点学科。2012年招收硕士研究生专业包括内科学、外科学、临床检验诊断学、康复医学与理疗学、影像医学与核医学等，经过近10年的发展，目前，硕士学位点招生范围涵盖了10个学科方向，分别是内科学、外科学、神经病学、急诊医学、麻醉学、肿瘤学、耳鼻咽喉科学、儿科学、眼科学、影像医学与核医学。</w:t>
      </w:r>
    </w:p>
    <w:p w14:paraId="0FEFB3B7">
      <w:pPr>
        <w:widowControl/>
        <w:spacing w:before="156" w:beforeLines="50" w:after="156" w:afterLines="50" w:line="520" w:lineRule="exact"/>
        <w:ind w:firstLine="562" w:firstLineChars="200"/>
        <w:jc w:val="left"/>
        <w:outlineLvl w:val="1"/>
        <w:rPr>
          <w:rFonts w:hint="eastAsia" w:ascii="Times New Roman" w:hAnsi="Times New Roman" w:eastAsia="楷体_GB2312" w:cs="Times New Roman"/>
          <w:b/>
          <w:bCs/>
          <w:sz w:val="28"/>
          <w:szCs w:val="28"/>
        </w:rPr>
      </w:pPr>
      <w:r>
        <w:rPr>
          <w:rFonts w:hint="eastAsia" w:ascii="Times New Roman" w:hAnsi="Times New Roman" w:eastAsia="楷体_GB2312" w:cs="Times New Roman"/>
          <w:b/>
          <w:bCs/>
          <w:sz w:val="28"/>
          <w:szCs w:val="28"/>
        </w:rPr>
        <w:t>（二）培养目标和学位标准</w:t>
      </w:r>
    </w:p>
    <w:p w14:paraId="037DDBB7">
      <w:pPr>
        <w:widowControl/>
        <w:spacing w:line="52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培养定位：</w:t>
      </w:r>
      <w:r>
        <w:rPr>
          <w:rFonts w:hint="eastAsia" w:ascii="仿宋" w:hAnsi="仿宋" w:eastAsia="仿宋" w:cs="仿宋"/>
          <w:sz w:val="28"/>
          <w:szCs w:val="28"/>
        </w:rPr>
        <w:t xml:space="preserve">立足中原、引领全国，发挥仲景中医药文化的独特优势，主动对接促进中部地区崛起和高质量发展的国家区域重大战略、服务健康中国，坚持德、智、体全面发展，培养中医高素质创新型人才。 </w:t>
      </w:r>
    </w:p>
    <w:p w14:paraId="1875C5A0">
      <w:pPr>
        <w:widowControl/>
        <w:spacing w:line="520" w:lineRule="exact"/>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培养目标</w:t>
      </w:r>
      <w:r>
        <w:rPr>
          <w:rFonts w:hint="eastAsia" w:ascii="仿宋" w:hAnsi="仿宋" w:eastAsia="仿宋" w:cs="仿宋"/>
          <w:b/>
          <w:bCs/>
          <w:sz w:val="28"/>
          <w:szCs w:val="28"/>
          <w:lang w:eastAsia="zh-CN"/>
        </w:rPr>
        <w:t>：</w:t>
      </w:r>
      <w:r>
        <w:rPr>
          <w:rFonts w:hint="eastAsia" w:ascii="仿宋" w:hAnsi="仿宋" w:eastAsia="仿宋" w:cs="仿宋"/>
          <w:sz w:val="28"/>
          <w:szCs w:val="28"/>
        </w:rPr>
        <w:t>（1）良好的职业人文素养：遵纪守法，诚实守信，身心健康，恪守学术道德，热爱中医药事业，具有全心全意为人民服务的医德医风，富有团结协作和求实创新精神，积极为社会主义现代化建设和发展中医药事业服务。</w:t>
      </w:r>
    </w:p>
    <w:p w14:paraId="2B259478">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卓越的学术研究能力：熟练掌握一门以上外语，能用外语阅读专业文献、写作论文、进行国内外学术交流。传承精华，守正创新，能应用中医学学科及相关学科的知识和技术方法，独立地、深入地开展具有创新性的相关科学与技术研究，做出创造性的成果。</w:t>
      </w:r>
    </w:p>
    <w:p w14:paraId="68AB8232">
      <w:pPr>
        <w:widowControl/>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（3）出色的临床工作能力：掌握本学科坚实宽广的基础理论和系统深入的专门知识。在继承和发扬中医经典理论的基础上，具备独立处理本学科常见病和某些疑难病症的能力。</w:t>
      </w:r>
    </w:p>
    <w:p w14:paraId="702F73BF">
      <w:pPr>
        <w:widowControl/>
        <w:spacing w:line="520" w:lineRule="exact"/>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学位标准：</w:t>
      </w:r>
    </w:p>
    <w:p w14:paraId="436011B2">
      <w:pPr>
        <w:widowControl/>
        <w:spacing w:line="52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学位点严格按照我校制定的《河南中医药大学学位授予工作实施细则》《河南中医药大学关于申请博士、硕士学位人员发表学术论文的规定》等文件要求，达到下述学术水平者，可授予博士学位：</w:t>
      </w:r>
    </w:p>
    <w:p w14:paraId="656E8CF1">
      <w:pPr>
        <w:widowControl/>
        <w:spacing w:line="520" w:lineRule="exact"/>
        <w:ind w:firstLine="560" w:firstLineChars="200"/>
        <w:jc w:val="left"/>
        <w:rPr>
          <w:rFonts w:ascii="Times New Roman" w:hAnsi="Times New Roman" w:eastAsia="仿宋_GB2312"/>
          <w:sz w:val="28"/>
          <w:szCs w:val="28"/>
        </w:rPr>
      </w:pPr>
      <w:r>
        <w:rPr>
          <w:rFonts w:hint="eastAsia" w:ascii="仿宋" w:hAnsi="仿宋" w:eastAsia="仿宋" w:cs="仿宋"/>
          <w:sz w:val="28"/>
          <w:szCs w:val="28"/>
          <w:lang w:val="en-US" w:eastAsia="zh-CN"/>
        </w:rPr>
        <w:t>（1）在本门学科上掌握坚实宽广的基础理论和系统深入的专门知识；（2）具有独立从事科学研究工作的能力；（3）在科学或专门技术上做出创造性的成果；（4）完成培养计划所规定的全部学习任务，课程考试成绩合格，并修满规定学分；（5）学位论文撰写符合我校要求、规范严谨，通过科研原始资料审核、学位论文检测、匿名评审及学位论文答辩等要求程序；（6）发表符合我校要求的学术论文：</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1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①</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在影响因子3.0以上的SCI源期刊或二区及以上SCI 源期刊发表学术论文 1 篇；</w:t>
      </w:r>
      <w:r>
        <w:rPr>
          <w:rFonts w:hint="default" w:ascii="仿宋" w:hAnsi="仿宋" w:eastAsia="仿宋" w:cs="仿宋"/>
          <w:sz w:val="28"/>
          <w:szCs w:val="28"/>
          <w:lang w:val="en-US" w:eastAsia="zh-CN"/>
        </w:rPr>
        <w:t>②</w:t>
      </w:r>
      <w:r>
        <w:rPr>
          <w:rFonts w:hint="eastAsia" w:ascii="仿宋" w:hAnsi="仿宋" w:eastAsia="仿宋" w:cs="仿宋"/>
          <w:sz w:val="28"/>
          <w:szCs w:val="28"/>
          <w:lang w:val="en-US" w:eastAsia="zh-CN"/>
        </w:rPr>
        <w:t>在SCI源期刊发表学术论文2篇；</w:t>
      </w:r>
      <w:r>
        <w:rPr>
          <w:rFonts w:hint="default" w:ascii="仿宋" w:hAnsi="仿宋" w:eastAsia="仿宋" w:cs="仿宋"/>
          <w:sz w:val="28"/>
          <w:szCs w:val="28"/>
          <w:lang w:val="en-US" w:eastAsia="zh-CN"/>
        </w:rPr>
        <w:t>③</w:t>
      </w:r>
      <w:r>
        <w:rPr>
          <w:rFonts w:hint="eastAsia" w:ascii="仿宋" w:hAnsi="仿宋" w:eastAsia="仿宋" w:cs="仿宋"/>
          <w:sz w:val="28"/>
          <w:szCs w:val="28"/>
          <w:lang w:val="en-US" w:eastAsia="zh-CN"/>
        </w:rPr>
        <w:t>在SCI源期刊发表学术论文1篇，并且在T1、T2级期刊发表学术论文1篇；</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4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④</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在中文核心期刊发表学术论文2篇；</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5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⑤</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作为第一负责人立项国家级以上科研项目；</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 6 \* GB3 \* MERGEFORMAT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⑥</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以第一名获得“岐黄杯”全国中医药博士生优秀论文一等奖或发明专利。</w:t>
      </w:r>
    </w:p>
    <w:p w14:paraId="2682F845">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ascii="Times New Roman" w:hAnsi="Times New Roman" w:eastAsia="楷体_GB2312"/>
          <w:b/>
          <w:bCs/>
          <w:sz w:val="28"/>
          <w:szCs w:val="28"/>
        </w:rPr>
        <w:t>（</w:t>
      </w:r>
      <w:r>
        <w:rPr>
          <w:rFonts w:hint="eastAsia" w:ascii="Times New Roman" w:hAnsi="Times New Roman" w:eastAsia="楷体_GB2312"/>
          <w:b/>
          <w:bCs/>
          <w:sz w:val="28"/>
          <w:szCs w:val="28"/>
          <w:lang w:val="en-US" w:eastAsia="zh-CN"/>
        </w:rPr>
        <w:t>三</w:t>
      </w:r>
      <w:r>
        <w:rPr>
          <w:rFonts w:ascii="Times New Roman" w:hAnsi="Times New Roman" w:eastAsia="楷体_GB2312"/>
          <w:b/>
          <w:bCs/>
          <w:sz w:val="28"/>
          <w:szCs w:val="28"/>
        </w:rPr>
        <w:t>）研究方向</w:t>
      </w:r>
    </w:p>
    <w:p w14:paraId="252CD631">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本学位点涵盖了10个二级学科方向：外科学、神经病学、内科学、急诊医学、儿科学、影像医学与核医学、麻醉学、肿瘤学、耳鼻咽喉科学、眼科学。</w:t>
      </w:r>
    </w:p>
    <w:p w14:paraId="07E8A3CD">
      <w:pPr>
        <w:spacing w:before="156" w:beforeLines="50" w:after="156" w:afterLines="50" w:line="520" w:lineRule="exact"/>
        <w:ind w:firstLine="560" w:firstLineChars="200"/>
        <w:outlineLvl w:val="1"/>
        <w:rPr>
          <w:rFonts w:ascii="Times New Roman" w:hAnsi="Times New Roman" w:eastAsia="仿宋_GB2312"/>
          <w:sz w:val="28"/>
          <w:szCs w:val="28"/>
        </w:rPr>
      </w:pPr>
      <w:r>
        <w:rPr>
          <w:rFonts w:hint="eastAsia" w:ascii="Times New Roman" w:hAnsi="Times New Roman" w:eastAsia="仿宋_GB2312"/>
          <w:sz w:val="28"/>
          <w:szCs w:val="28"/>
          <w:lang w:val="en-US" w:eastAsia="zh-CN"/>
        </w:rPr>
        <w:t>学科</w:t>
      </w:r>
      <w:r>
        <w:rPr>
          <w:rFonts w:ascii="Times New Roman" w:hAnsi="Times New Roman" w:eastAsia="仿宋_GB2312"/>
          <w:sz w:val="28"/>
          <w:szCs w:val="28"/>
        </w:rPr>
        <w:t>方向一：外科学</w:t>
      </w:r>
    </w:p>
    <w:p w14:paraId="3BA00387">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本方向拥有一批朝气蓬勃的学术带头人和学术骨干，形成了稳定的研究方向：消化道肿瘤、肾移植的基础与临床研究，特别在胃癌、结直肠癌、肝癌的中西医结合防治的机制、中医药预防肾移植术后缺血的机制方面开展了深入研究。主持省部级项目6项、厅局级项目13项，发表SCI及中文核心论文等70余篇，获河南省医学科技进步奖三等奖1项，著作12部，专利5项。</w:t>
      </w:r>
    </w:p>
    <w:p w14:paraId="5028AF89">
      <w:pPr>
        <w:spacing w:before="156" w:beforeLines="50" w:after="156" w:afterLines="50" w:line="520" w:lineRule="exact"/>
        <w:ind w:firstLine="560" w:firstLineChars="200"/>
        <w:outlineLvl w:val="1"/>
        <w:rPr>
          <w:rFonts w:ascii="Times New Roman" w:hAnsi="Times New Roman" w:eastAsia="仿宋_GB2312"/>
          <w:sz w:val="28"/>
          <w:szCs w:val="28"/>
        </w:rPr>
      </w:pPr>
      <w:r>
        <w:rPr>
          <w:rFonts w:hint="eastAsia" w:ascii="Times New Roman" w:hAnsi="Times New Roman" w:eastAsia="仿宋_GB2312"/>
          <w:sz w:val="28"/>
          <w:szCs w:val="28"/>
          <w:lang w:val="en-US" w:eastAsia="zh-CN"/>
        </w:rPr>
        <w:t>学科</w:t>
      </w:r>
      <w:r>
        <w:rPr>
          <w:rFonts w:ascii="Times New Roman" w:hAnsi="Times New Roman" w:eastAsia="仿宋_GB2312"/>
          <w:sz w:val="28"/>
          <w:szCs w:val="28"/>
        </w:rPr>
        <w:t>方向二：神经病学</w:t>
      </w:r>
    </w:p>
    <w:p w14:paraId="6F0AA512">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本方向拥有一支“老中青”相结合的学术研究队伍，形成了稳定的研究方向：脑血管疾病的基础与临床研究，在脑动脉狭窄再灌注、颅内动脉瘤介入等方面具备完善的诊疗及研究体系。主持国家级项目2项、省部级项目2项、厅局级项目7项，发表SCI及中文核心论文等80余篇，获河南省教育厅科技成果奖二等奖1项，著作8部，专利5项。</w:t>
      </w:r>
    </w:p>
    <w:p w14:paraId="0C808400">
      <w:pPr>
        <w:spacing w:before="156" w:beforeLines="50" w:after="156" w:afterLines="50" w:line="520" w:lineRule="exact"/>
        <w:ind w:firstLine="560" w:firstLineChars="200"/>
        <w:outlineLvl w:val="1"/>
        <w:rPr>
          <w:rFonts w:ascii="Times New Roman" w:hAnsi="Times New Roman" w:eastAsia="仿宋_GB2312"/>
          <w:sz w:val="28"/>
          <w:szCs w:val="28"/>
        </w:rPr>
      </w:pPr>
      <w:r>
        <w:rPr>
          <w:rFonts w:hint="eastAsia" w:ascii="Times New Roman" w:hAnsi="Times New Roman" w:eastAsia="仿宋_GB2312"/>
          <w:sz w:val="28"/>
          <w:szCs w:val="28"/>
          <w:lang w:val="en-US" w:eastAsia="zh-CN"/>
        </w:rPr>
        <w:t>学科</w:t>
      </w:r>
      <w:r>
        <w:rPr>
          <w:rFonts w:ascii="Times New Roman" w:hAnsi="Times New Roman" w:eastAsia="仿宋_GB2312"/>
          <w:sz w:val="28"/>
          <w:szCs w:val="28"/>
        </w:rPr>
        <w:t>方向三：内科学</w:t>
      </w:r>
    </w:p>
    <w:p w14:paraId="59AB9C29">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本方向拥有一批朝气蓬勃的学术带头人和学术骨干，形成了稳定的研究方向：心血管疾病的基础与临床研究，在中医药防治动脉粥样硬化、支架内再狭窄、微循环障碍等方面开展了深入研究。主持国家级项目5项、省部级项目3项、厅局级项目8项，发表SCI及中文核心论文等60余篇，参与制定行业标准4项。</w:t>
      </w:r>
    </w:p>
    <w:p w14:paraId="2AEE5838">
      <w:pPr>
        <w:spacing w:before="156" w:beforeLines="50" w:after="156" w:afterLines="50" w:line="520" w:lineRule="exact"/>
        <w:ind w:firstLine="560" w:firstLineChars="200"/>
        <w:outlineLvl w:val="1"/>
        <w:rPr>
          <w:rFonts w:ascii="Times New Roman" w:hAnsi="Times New Roman" w:eastAsia="仿宋_GB2312"/>
          <w:sz w:val="28"/>
          <w:szCs w:val="28"/>
        </w:rPr>
      </w:pPr>
      <w:r>
        <w:rPr>
          <w:rFonts w:hint="eastAsia" w:ascii="Times New Roman" w:hAnsi="Times New Roman" w:eastAsia="仿宋_GB2312"/>
          <w:sz w:val="28"/>
          <w:szCs w:val="28"/>
          <w:lang w:val="en-US" w:eastAsia="zh-CN"/>
        </w:rPr>
        <w:t>学科</w:t>
      </w:r>
      <w:r>
        <w:rPr>
          <w:rFonts w:ascii="Times New Roman" w:hAnsi="Times New Roman" w:eastAsia="仿宋_GB2312"/>
          <w:sz w:val="28"/>
          <w:szCs w:val="28"/>
        </w:rPr>
        <w:t>方向四：急诊医学</w:t>
      </w:r>
    </w:p>
    <w:p w14:paraId="0B719758">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本方向拥有一支结构合理的、高水平的教师队伍，主要围绕急危重症疾病开展基础与临床研究，在急诊急救、创伤救治及心肺复苏等相关疾病的中西医结合救治方面开展了深入的研究。主持国家级项目2项、省部级项目3项、厅局级项目13项，发表SCI及中文核心论文等100余篇。</w:t>
      </w:r>
    </w:p>
    <w:p w14:paraId="74BF7DE8">
      <w:pPr>
        <w:spacing w:before="156" w:beforeLines="50" w:after="156" w:afterLines="50" w:line="520" w:lineRule="exact"/>
        <w:ind w:firstLine="560" w:firstLineChars="200"/>
        <w:outlineLvl w:val="1"/>
        <w:rPr>
          <w:rFonts w:ascii="Times New Roman" w:hAnsi="Times New Roman" w:eastAsia="仿宋_GB2312"/>
          <w:sz w:val="28"/>
          <w:szCs w:val="28"/>
        </w:rPr>
      </w:pPr>
      <w:r>
        <w:rPr>
          <w:rFonts w:hint="eastAsia" w:ascii="Times New Roman" w:hAnsi="Times New Roman" w:eastAsia="仿宋_GB2312"/>
          <w:sz w:val="28"/>
          <w:szCs w:val="28"/>
          <w:lang w:val="en-US" w:eastAsia="zh-CN"/>
        </w:rPr>
        <w:t>学科</w:t>
      </w:r>
      <w:r>
        <w:rPr>
          <w:rFonts w:ascii="Times New Roman" w:hAnsi="Times New Roman" w:eastAsia="仿宋_GB2312"/>
          <w:sz w:val="28"/>
          <w:szCs w:val="28"/>
        </w:rPr>
        <w:t>方向五：儿科学</w:t>
      </w:r>
    </w:p>
    <w:p w14:paraId="1950C3B3">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本方向拥有一批朝气蓬勃的学术带头人和学术骨干，形成了稳定的研究方向：胆道闭锁的基础与临床研究，针对胆道闭锁术后肝纤维化开展了深入研究，充分发挥中医药优势。主持国家级项目2项、省部级项目2项、厅局级项目5项，发表SCI及中文核心论文等30余篇。</w:t>
      </w:r>
    </w:p>
    <w:p w14:paraId="3B2D3283">
      <w:pPr>
        <w:spacing w:before="156" w:beforeLines="50" w:after="156" w:afterLines="50" w:line="520" w:lineRule="exact"/>
        <w:ind w:firstLine="560" w:firstLineChars="200"/>
        <w:outlineLvl w:val="1"/>
        <w:rPr>
          <w:rFonts w:ascii="Times New Roman" w:hAnsi="Times New Roman" w:eastAsia="仿宋_GB2312"/>
          <w:sz w:val="28"/>
          <w:szCs w:val="28"/>
        </w:rPr>
      </w:pPr>
      <w:r>
        <w:rPr>
          <w:rFonts w:hint="eastAsia" w:ascii="Times New Roman" w:hAnsi="Times New Roman" w:eastAsia="仿宋_GB2312"/>
          <w:sz w:val="28"/>
          <w:szCs w:val="28"/>
          <w:lang w:val="en-US" w:eastAsia="zh-CN"/>
        </w:rPr>
        <w:t>学科</w:t>
      </w:r>
      <w:r>
        <w:rPr>
          <w:rFonts w:ascii="Times New Roman" w:hAnsi="Times New Roman" w:eastAsia="仿宋_GB2312"/>
          <w:sz w:val="28"/>
          <w:szCs w:val="28"/>
        </w:rPr>
        <w:t>方向六：影像医学与核医学</w:t>
      </w:r>
    </w:p>
    <w:p w14:paraId="0D304EED">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本方向研究方向稳定、人员队伍结构合理，聚焦于放射联合中药在肿瘤治疗中的基础与临床研究，在影像与人工智能领域开展了深入的医工交叉融合研究。获河南省高校科技创新团队1项，国家级项目1项、省部级项目1项、厅局级项目9项，发表SCI及中文核心论文等60余篇，获河南省科技进步奖4项，专利3项。</w:t>
      </w:r>
    </w:p>
    <w:p w14:paraId="2CF1E17D">
      <w:pPr>
        <w:spacing w:before="156" w:beforeLines="50" w:after="156" w:afterLines="50" w:line="520" w:lineRule="exact"/>
        <w:ind w:firstLine="560" w:firstLineChars="200"/>
        <w:outlineLvl w:val="1"/>
        <w:rPr>
          <w:rFonts w:ascii="Times New Roman" w:hAnsi="Times New Roman" w:eastAsia="仿宋_GB2312"/>
          <w:sz w:val="28"/>
          <w:szCs w:val="28"/>
        </w:rPr>
      </w:pPr>
      <w:r>
        <w:rPr>
          <w:rFonts w:hint="eastAsia" w:ascii="Times New Roman" w:hAnsi="Times New Roman" w:eastAsia="仿宋_GB2312"/>
          <w:sz w:val="28"/>
          <w:szCs w:val="28"/>
          <w:lang w:val="en-US" w:eastAsia="zh-CN"/>
        </w:rPr>
        <w:t>学科</w:t>
      </w:r>
      <w:r>
        <w:rPr>
          <w:rFonts w:ascii="Times New Roman" w:hAnsi="Times New Roman" w:eastAsia="仿宋_GB2312"/>
          <w:sz w:val="28"/>
          <w:szCs w:val="28"/>
        </w:rPr>
        <w:t>方向七：麻醉学</w:t>
      </w:r>
    </w:p>
    <w:p w14:paraId="5E0DE295">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本方向人员队伍成熟，结构合理。聚焦于中西医结合及针刺技术在围术期并发症防治和镇痛机制的基础与临床研究。主持省部级项目3项、厅局级项目10余项，发表SCI及中文核心论文等40余篇，专利2项。</w:t>
      </w:r>
    </w:p>
    <w:p w14:paraId="660D0459">
      <w:pPr>
        <w:spacing w:before="156" w:beforeLines="50" w:after="156" w:afterLines="50" w:line="520" w:lineRule="exact"/>
        <w:ind w:firstLine="560" w:firstLineChars="200"/>
        <w:outlineLvl w:val="1"/>
        <w:rPr>
          <w:rFonts w:ascii="Times New Roman" w:hAnsi="Times New Roman" w:eastAsia="仿宋_GB2312"/>
          <w:sz w:val="28"/>
          <w:szCs w:val="28"/>
        </w:rPr>
      </w:pPr>
      <w:r>
        <w:rPr>
          <w:rFonts w:hint="eastAsia" w:ascii="Times New Roman" w:hAnsi="Times New Roman" w:eastAsia="仿宋_GB2312"/>
          <w:sz w:val="28"/>
          <w:szCs w:val="28"/>
          <w:lang w:val="en-US" w:eastAsia="zh-CN"/>
        </w:rPr>
        <w:t>学科</w:t>
      </w:r>
      <w:r>
        <w:rPr>
          <w:rFonts w:ascii="Times New Roman" w:hAnsi="Times New Roman" w:eastAsia="仿宋_GB2312"/>
          <w:sz w:val="28"/>
          <w:szCs w:val="28"/>
        </w:rPr>
        <w:t>方向八：肿瘤学</w:t>
      </w:r>
    </w:p>
    <w:p w14:paraId="01C87BCF">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本方向拥有一支“老中青”相结合的学术研究队伍，聚焦于中西医结合防治恶性肿瘤、血液系统疾病、中医药的减毒增效、提高免疫力为主的基础与临床研究。主持国家级项目1项、省部级项目6项、厅局级项目8项，发表SCI及中文核心论文等30余篇，专利3项。</w:t>
      </w:r>
    </w:p>
    <w:p w14:paraId="17F5769E">
      <w:pPr>
        <w:spacing w:before="156" w:beforeLines="50" w:after="156" w:afterLines="50" w:line="520" w:lineRule="exact"/>
        <w:ind w:firstLine="560" w:firstLineChars="200"/>
        <w:outlineLvl w:val="1"/>
        <w:rPr>
          <w:rFonts w:ascii="Times New Roman" w:hAnsi="Times New Roman" w:eastAsia="仿宋_GB2312"/>
          <w:sz w:val="28"/>
          <w:szCs w:val="28"/>
        </w:rPr>
      </w:pPr>
      <w:r>
        <w:rPr>
          <w:rFonts w:hint="eastAsia" w:ascii="Times New Roman" w:hAnsi="Times New Roman" w:eastAsia="仿宋_GB2312"/>
          <w:sz w:val="28"/>
          <w:szCs w:val="28"/>
          <w:lang w:val="en-US" w:eastAsia="zh-CN"/>
        </w:rPr>
        <w:t>学科</w:t>
      </w:r>
      <w:r>
        <w:rPr>
          <w:rFonts w:ascii="Times New Roman" w:hAnsi="Times New Roman" w:eastAsia="仿宋_GB2312"/>
          <w:sz w:val="28"/>
          <w:szCs w:val="28"/>
        </w:rPr>
        <w:t>方向九：耳鼻喉科学</w:t>
      </w:r>
    </w:p>
    <w:p w14:paraId="1C91F0FD">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 xml:space="preserve">本方向拥有一支中青年学术研究队伍，聚焦于耳科疾病、鼻科疾病、咽喉科疾病等的基础与临床研究。主持国家级项目1项、省部级项目2项，发表SCI及中文核心论文等30余篇，获得河南省科技进步三等奖1项，专利1项。   </w:t>
      </w:r>
    </w:p>
    <w:p w14:paraId="0F59CA26">
      <w:pPr>
        <w:spacing w:before="156" w:beforeLines="50" w:after="156" w:afterLines="50" w:line="520" w:lineRule="exact"/>
        <w:ind w:firstLine="560" w:firstLineChars="200"/>
        <w:outlineLvl w:val="1"/>
        <w:rPr>
          <w:rFonts w:ascii="Times New Roman" w:hAnsi="Times New Roman" w:eastAsia="仿宋_GB2312"/>
          <w:sz w:val="28"/>
          <w:szCs w:val="28"/>
        </w:rPr>
      </w:pPr>
      <w:r>
        <w:rPr>
          <w:rFonts w:hint="eastAsia" w:ascii="Times New Roman" w:hAnsi="Times New Roman" w:eastAsia="仿宋_GB2312"/>
          <w:sz w:val="28"/>
          <w:szCs w:val="28"/>
          <w:lang w:val="en-US" w:eastAsia="zh-CN"/>
        </w:rPr>
        <w:t>学科</w:t>
      </w:r>
      <w:r>
        <w:rPr>
          <w:rFonts w:ascii="Times New Roman" w:hAnsi="Times New Roman" w:eastAsia="仿宋_GB2312"/>
          <w:sz w:val="28"/>
          <w:szCs w:val="28"/>
        </w:rPr>
        <w:t>方向十：眼科学</w:t>
      </w:r>
    </w:p>
    <w:p w14:paraId="03D1886B">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本方向拥有一支“老中青”相结合的学术研究队伍，聚焦于眼底疾病、青少年近视、弱视、糖尿病视网膜病变的临床与基础研究，省部级项目2项、厅局级项目3项，发表SCI及中文核心论文等20余篇。</w:t>
      </w:r>
    </w:p>
    <w:p w14:paraId="663D92D0">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ascii="Times New Roman" w:hAnsi="Times New Roman" w:eastAsia="楷体_GB2312"/>
          <w:b/>
          <w:bCs/>
          <w:sz w:val="28"/>
          <w:szCs w:val="28"/>
        </w:rPr>
        <w:t>（</w:t>
      </w:r>
      <w:r>
        <w:rPr>
          <w:rFonts w:hint="eastAsia" w:ascii="Times New Roman" w:hAnsi="Times New Roman" w:eastAsia="楷体_GB2312"/>
          <w:b/>
          <w:bCs/>
          <w:sz w:val="28"/>
          <w:szCs w:val="28"/>
          <w:lang w:val="en-US" w:eastAsia="zh-CN"/>
        </w:rPr>
        <w:t>四</w:t>
      </w:r>
      <w:r>
        <w:rPr>
          <w:rFonts w:ascii="Times New Roman" w:hAnsi="Times New Roman" w:eastAsia="楷体_GB2312"/>
          <w:b/>
          <w:bCs/>
          <w:sz w:val="28"/>
          <w:szCs w:val="28"/>
        </w:rPr>
        <w:t>）师资队伍</w:t>
      </w:r>
    </w:p>
    <w:p w14:paraId="2D8802D3">
      <w:pPr>
        <w:widowControl/>
        <w:spacing w:line="520" w:lineRule="exact"/>
        <w:ind w:firstLine="562" w:firstLineChars="200"/>
        <w:jc w:val="left"/>
        <w:outlineLvl w:val="2"/>
        <w:rPr>
          <w:rFonts w:ascii="Times New Roman" w:hAnsi="Times New Roman" w:eastAsia="仿宋_GB2312"/>
          <w:b/>
          <w:bCs/>
          <w:kern w:val="0"/>
          <w:sz w:val="28"/>
          <w:szCs w:val="28"/>
          <w:lang w:bidi="ar"/>
        </w:rPr>
      </w:pPr>
      <w:bookmarkStart w:id="0" w:name="_Toc8544"/>
      <w:bookmarkStart w:id="1" w:name="_Toc22024"/>
      <w:bookmarkStart w:id="2" w:name="_Toc25520949"/>
      <w:bookmarkStart w:id="3" w:name="_Toc25661822"/>
      <w:bookmarkStart w:id="4" w:name="_Toc81916627"/>
      <w:bookmarkStart w:id="5" w:name="_Toc1634"/>
      <w:bookmarkStart w:id="6" w:name="_Toc25520497"/>
      <w:bookmarkStart w:id="7" w:name="_Toc46646175"/>
      <w:bookmarkStart w:id="8" w:name="_Toc46646309"/>
      <w:bookmarkStart w:id="9" w:name="_Toc10674"/>
      <w:bookmarkStart w:id="10" w:name="_Toc81917337"/>
      <w:bookmarkStart w:id="11" w:name="_Toc25680013"/>
      <w:bookmarkStart w:id="12" w:name="_Toc25679684"/>
      <w:bookmarkStart w:id="13" w:name="_Toc46997689"/>
      <w:bookmarkStart w:id="14" w:name="_Toc28200059"/>
      <w:bookmarkStart w:id="15" w:name="_Toc25521460"/>
      <w:bookmarkStart w:id="16" w:name="_Toc25521200"/>
      <w:r>
        <w:rPr>
          <w:rFonts w:ascii="Times New Roman" w:hAnsi="Times New Roman" w:eastAsia="仿宋_GB2312"/>
          <w:b/>
          <w:bCs/>
          <w:kern w:val="0"/>
          <w:sz w:val="28"/>
          <w:szCs w:val="28"/>
          <w:lang w:bidi="ar"/>
        </w:rPr>
        <w:t>1.教师情况基本介绍</w:t>
      </w:r>
    </w:p>
    <w:p w14:paraId="55E11425">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学校各级领导高度重视</w:t>
      </w:r>
      <w:r>
        <w:rPr>
          <w:rFonts w:hint="eastAsia" w:ascii="Times New Roman" w:hAnsi="Times New Roman" w:eastAsia="仿宋_GB2312"/>
          <w:sz w:val="28"/>
          <w:szCs w:val="28"/>
        </w:rPr>
        <w:t>临床医学</w:t>
      </w:r>
      <w:r>
        <w:rPr>
          <w:rFonts w:ascii="Times New Roman" w:hAnsi="Times New Roman" w:eastAsia="仿宋_GB2312"/>
          <w:sz w:val="28"/>
          <w:szCs w:val="28"/>
        </w:rPr>
        <w:t xml:space="preserve">学位点教师队伍建设。按照学校党组关于学科建设工作统一部署，在各级领导的指挥下和各部门共同努力下，临床学位点的教师队伍建设工作取得了巨大的进步，营造了尊师敬教的良好氛围，有效促进了学校学科建设工作。 </w:t>
      </w:r>
    </w:p>
    <w:p w14:paraId="36CEB1D3">
      <w:pPr>
        <w:spacing w:before="156" w:beforeLines="50" w:after="156" w:afterLines="50" w:line="520" w:lineRule="exact"/>
        <w:ind w:firstLine="560" w:firstLineChars="200"/>
        <w:outlineLvl w:val="1"/>
        <w:rPr>
          <w:rFonts w:ascii="Times New Roman" w:hAnsi="Times New Roman" w:eastAsia="仿宋_GB2312"/>
          <w:sz w:val="28"/>
          <w:szCs w:val="28"/>
        </w:rPr>
      </w:pPr>
      <w:r>
        <w:rPr>
          <w:rFonts w:ascii="Times New Roman" w:hAnsi="Times New Roman" w:eastAsia="仿宋_GB2312"/>
          <w:sz w:val="28"/>
          <w:szCs w:val="28"/>
        </w:rPr>
        <w:t>我校临床医学学科为河南省重点学科，每年上级部门及学校对学科建设投入大量经费，为本学科师资队伍建设提供有力保障。本学科坚持“传承实践，创新理论，突破重点”的建设思路，以1</w:t>
      </w:r>
      <w:r>
        <w:rPr>
          <w:rFonts w:hint="eastAsia" w:ascii="Times New Roman" w:hAnsi="Times New Roman" w:eastAsia="仿宋_GB2312"/>
          <w:sz w:val="28"/>
          <w:szCs w:val="28"/>
        </w:rPr>
        <w:t>0</w:t>
      </w:r>
      <w:r>
        <w:rPr>
          <w:rFonts w:ascii="Times New Roman" w:hAnsi="Times New Roman" w:eastAsia="仿宋_GB2312"/>
          <w:sz w:val="28"/>
          <w:szCs w:val="28"/>
        </w:rPr>
        <w:t>个培养方向、4个重点研究领域为主要发展方向，不断壮大中坚力量，各方向之间相互依托、相互支撑。学术带头人、后备学术带头人、学术骨干、知名专家在硕士研究生培养工作中起到了重要的引领作用。</w:t>
      </w:r>
    </w:p>
    <w:p w14:paraId="3288B216">
      <w:pPr>
        <w:widowControl/>
        <w:spacing w:line="520" w:lineRule="exact"/>
        <w:ind w:firstLine="562" w:firstLineChars="200"/>
        <w:jc w:val="left"/>
        <w:outlineLvl w:val="2"/>
        <w:rPr>
          <w:rFonts w:ascii="Times New Roman" w:hAnsi="Times New Roman" w:eastAsia="国标仿宋-GB/T 2312"/>
          <w:b/>
          <w:bCs/>
          <w:kern w:val="0"/>
          <w:sz w:val="28"/>
          <w:szCs w:val="28"/>
          <w:lang w:bidi="ar"/>
        </w:rPr>
      </w:pPr>
      <w:r>
        <w:rPr>
          <w:rFonts w:ascii="Times New Roman" w:hAnsi="Times New Roman" w:eastAsia="国标仿宋-GB/T 2312"/>
          <w:b/>
          <w:bCs/>
          <w:kern w:val="0"/>
          <w:sz w:val="28"/>
          <w:szCs w:val="28"/>
          <w:lang w:bidi="ar"/>
        </w:rPr>
        <w:t>2.专任教师队伍</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Times New Roman" w:hAnsi="Times New Roman" w:eastAsia="国标仿宋-GB/T 2312"/>
          <w:b/>
          <w:bCs/>
          <w:kern w:val="0"/>
          <w:sz w:val="28"/>
          <w:szCs w:val="28"/>
          <w:lang w:bidi="ar"/>
        </w:rPr>
        <w:t>情况</w:t>
      </w:r>
    </w:p>
    <w:p w14:paraId="290F87AD">
      <w:pPr>
        <w:spacing w:before="156" w:beforeLines="50" w:after="156" w:afterLines="50" w:line="520" w:lineRule="exact"/>
        <w:ind w:firstLine="560" w:firstLineChars="200"/>
        <w:outlineLvl w:val="1"/>
        <w:rPr>
          <w:rFonts w:ascii="Times New Roman" w:hAnsi="Times New Roman" w:eastAsia="仿宋_GB2312"/>
          <w:sz w:val="28"/>
          <w:szCs w:val="28"/>
        </w:rPr>
      </w:pPr>
      <w:r>
        <w:rPr>
          <w:rFonts w:hint="eastAsia" w:ascii="Times New Roman" w:hAnsi="Times New Roman" w:eastAsia="仿宋_GB2312"/>
          <w:sz w:val="28"/>
          <w:szCs w:val="28"/>
        </w:rPr>
        <w:t>202</w:t>
      </w:r>
      <w:r>
        <w:rPr>
          <w:rFonts w:ascii="Times New Roman" w:hAnsi="Times New Roman" w:eastAsia="仿宋_GB2312"/>
          <w:sz w:val="28"/>
          <w:szCs w:val="28"/>
        </w:rPr>
        <w:t>2</w:t>
      </w:r>
      <w:r>
        <w:rPr>
          <w:rFonts w:hint="eastAsia" w:ascii="Times New Roman" w:hAnsi="Times New Roman" w:eastAsia="仿宋_GB2312"/>
          <w:sz w:val="28"/>
          <w:szCs w:val="28"/>
        </w:rPr>
        <w:t>年本学位点</w:t>
      </w:r>
      <w:r>
        <w:rPr>
          <w:rFonts w:ascii="Times New Roman" w:hAnsi="Times New Roman" w:eastAsia="仿宋_GB2312"/>
          <w:sz w:val="28"/>
          <w:szCs w:val="28"/>
        </w:rPr>
        <w:t>现有</w:t>
      </w:r>
      <w:r>
        <w:rPr>
          <w:rFonts w:hint="eastAsia" w:ascii="Times New Roman" w:hAnsi="Times New Roman" w:eastAsia="仿宋_GB2312"/>
          <w:sz w:val="28"/>
          <w:szCs w:val="28"/>
        </w:rPr>
        <w:t>专任</w:t>
      </w:r>
      <w:r>
        <w:rPr>
          <w:rFonts w:ascii="Times New Roman" w:hAnsi="Times New Roman" w:eastAsia="仿宋_GB2312"/>
          <w:sz w:val="28"/>
          <w:szCs w:val="28"/>
        </w:rPr>
        <w:t>教师1</w:t>
      </w:r>
      <w:r>
        <w:rPr>
          <w:rFonts w:hint="eastAsia" w:ascii="Times New Roman" w:hAnsi="Times New Roman" w:eastAsia="仿宋_GB2312"/>
          <w:sz w:val="28"/>
          <w:szCs w:val="28"/>
        </w:rPr>
        <w:t>4</w:t>
      </w:r>
      <w:r>
        <w:rPr>
          <w:rFonts w:ascii="Times New Roman" w:hAnsi="Times New Roman" w:eastAsia="仿宋_GB2312"/>
          <w:sz w:val="28"/>
          <w:szCs w:val="28"/>
        </w:rPr>
        <w:t>0人，硕导共计57人</w:t>
      </w:r>
      <w:r>
        <w:rPr>
          <w:rFonts w:hint="eastAsia" w:ascii="Times New Roman" w:hAnsi="Times New Roman" w:eastAsia="仿宋_GB2312"/>
          <w:sz w:val="28"/>
          <w:szCs w:val="28"/>
        </w:rPr>
        <w:t>，导师</w:t>
      </w:r>
      <w:r>
        <w:rPr>
          <w:rFonts w:ascii="Times New Roman" w:hAnsi="Times New Roman" w:eastAsia="仿宋_GB2312"/>
          <w:sz w:val="28"/>
          <w:szCs w:val="28"/>
        </w:rPr>
        <w:t xml:space="preserve">占比率为 </w:t>
      </w:r>
      <w:r>
        <w:rPr>
          <w:rFonts w:hint="eastAsia" w:ascii="Times New Roman" w:hAnsi="Times New Roman" w:eastAsia="仿宋_GB2312"/>
          <w:sz w:val="28"/>
          <w:szCs w:val="28"/>
        </w:rPr>
        <w:t>4</w:t>
      </w:r>
      <w:r>
        <w:rPr>
          <w:rFonts w:ascii="Times New Roman" w:hAnsi="Times New Roman" w:eastAsia="仿宋_GB2312"/>
          <w:sz w:val="28"/>
          <w:szCs w:val="28"/>
        </w:rPr>
        <w:t>0.71%。</w:t>
      </w:r>
      <w:r>
        <w:rPr>
          <w:rFonts w:hint="eastAsia" w:ascii="Times New Roman" w:hAnsi="Times New Roman" w:eastAsia="仿宋_GB2312"/>
          <w:sz w:val="28"/>
          <w:szCs w:val="28"/>
        </w:rPr>
        <w:t>其中，</w:t>
      </w:r>
      <w:r>
        <w:rPr>
          <w:rFonts w:ascii="Times New Roman" w:hAnsi="Times New Roman" w:eastAsia="仿宋_GB2312"/>
          <w:sz w:val="28"/>
          <w:szCs w:val="28"/>
        </w:rPr>
        <w:t>26 岁至 35 岁人员22人，36 岁至 45 岁人员55人，46 岁至 59 岁人员59人，60 岁及以上人员4人。平均年龄 45岁。</w:t>
      </w:r>
      <w:r>
        <w:rPr>
          <w:rFonts w:hint="eastAsia" w:ascii="Times New Roman" w:hAnsi="Times New Roman" w:eastAsia="仿宋_GB2312"/>
          <w:sz w:val="28"/>
          <w:szCs w:val="28"/>
        </w:rPr>
        <w:t>导师</w:t>
      </w:r>
      <w:r>
        <w:rPr>
          <w:rFonts w:ascii="Times New Roman" w:hAnsi="Times New Roman" w:eastAsia="仿宋_GB2312"/>
          <w:sz w:val="28"/>
          <w:szCs w:val="28"/>
        </w:rPr>
        <w:t xml:space="preserve">具有博士学位人员 36人，占比率约 25.71%。正高级职称 </w:t>
      </w:r>
      <w:r>
        <w:rPr>
          <w:rFonts w:hint="eastAsia" w:ascii="Times New Roman" w:hAnsi="Times New Roman" w:eastAsia="仿宋_GB2312"/>
          <w:sz w:val="28"/>
          <w:szCs w:val="28"/>
        </w:rPr>
        <w:t>4</w:t>
      </w:r>
      <w:r>
        <w:rPr>
          <w:rFonts w:ascii="Times New Roman" w:hAnsi="Times New Roman" w:eastAsia="仿宋_GB2312"/>
          <w:sz w:val="28"/>
          <w:szCs w:val="28"/>
        </w:rPr>
        <w:t>4人，副高级职称6</w:t>
      </w:r>
      <w:r>
        <w:rPr>
          <w:rFonts w:hint="eastAsia" w:ascii="Times New Roman" w:hAnsi="Times New Roman" w:eastAsia="仿宋_GB2312"/>
          <w:sz w:val="28"/>
          <w:szCs w:val="28"/>
        </w:rPr>
        <w:t>0</w:t>
      </w:r>
      <w:r>
        <w:rPr>
          <w:rFonts w:ascii="Times New Roman" w:hAnsi="Times New Roman" w:eastAsia="仿宋_GB2312"/>
          <w:sz w:val="28"/>
          <w:szCs w:val="28"/>
        </w:rPr>
        <w:t xml:space="preserve">人，中级职称 </w:t>
      </w:r>
      <w:r>
        <w:rPr>
          <w:rFonts w:hint="eastAsia" w:ascii="Times New Roman" w:hAnsi="Times New Roman" w:eastAsia="仿宋_GB2312"/>
          <w:sz w:val="28"/>
          <w:szCs w:val="28"/>
        </w:rPr>
        <w:t>36</w:t>
      </w:r>
      <w:r>
        <w:rPr>
          <w:rFonts w:ascii="Times New Roman" w:hAnsi="Times New Roman" w:eastAsia="仿宋_GB2312"/>
          <w:sz w:val="28"/>
          <w:szCs w:val="28"/>
        </w:rPr>
        <w:t>人</w:t>
      </w:r>
      <w:r>
        <w:rPr>
          <w:rFonts w:hint="eastAsia" w:ascii="Times New Roman" w:hAnsi="Times New Roman" w:eastAsia="仿宋_GB2312"/>
          <w:sz w:val="28"/>
          <w:szCs w:val="28"/>
        </w:rPr>
        <w:t>，</w:t>
      </w:r>
      <w:r>
        <w:rPr>
          <w:rFonts w:ascii="Times New Roman" w:hAnsi="Times New Roman" w:eastAsia="仿宋_GB2312"/>
          <w:sz w:val="28"/>
          <w:szCs w:val="28"/>
        </w:rPr>
        <w:t xml:space="preserve">其中高级职称占比率约为 </w:t>
      </w:r>
      <w:r>
        <w:rPr>
          <w:rFonts w:hint="eastAsia" w:ascii="Times New Roman" w:hAnsi="Times New Roman" w:eastAsia="仿宋_GB2312"/>
          <w:sz w:val="28"/>
          <w:szCs w:val="28"/>
        </w:rPr>
        <w:t>74.</w:t>
      </w:r>
      <w:r>
        <w:rPr>
          <w:rFonts w:ascii="Times New Roman" w:hAnsi="Times New Roman" w:eastAsia="仿宋_GB2312"/>
          <w:sz w:val="28"/>
          <w:szCs w:val="28"/>
        </w:rPr>
        <w:t>29%。</w:t>
      </w:r>
    </w:p>
    <w:p w14:paraId="381C499F">
      <w:pPr>
        <w:widowControl/>
        <w:spacing w:line="520" w:lineRule="exact"/>
        <w:ind w:firstLine="562" w:firstLineChars="200"/>
        <w:jc w:val="left"/>
        <w:outlineLvl w:val="2"/>
        <w:rPr>
          <w:rFonts w:hint="eastAsia" w:ascii="Times New Roman" w:hAnsi="Times New Roman" w:eastAsia="国标仿宋-GB/T 2312"/>
          <w:b/>
          <w:bCs/>
          <w:kern w:val="0"/>
          <w:sz w:val="28"/>
          <w:szCs w:val="28"/>
          <w:lang w:val="en-US" w:eastAsia="zh-CN" w:bidi="ar"/>
        </w:rPr>
      </w:pPr>
      <w:r>
        <w:rPr>
          <w:rFonts w:hint="eastAsia" w:ascii="Times New Roman" w:hAnsi="Times New Roman" w:eastAsia="国标仿宋-GB/T 2312"/>
          <w:b/>
          <w:bCs/>
          <w:kern w:val="0"/>
          <w:sz w:val="28"/>
          <w:szCs w:val="28"/>
          <w:lang w:val="en-US" w:eastAsia="zh-CN" w:bidi="ar"/>
        </w:rPr>
        <w:t>2.1专任教师数量及结构</w:t>
      </w:r>
    </w:p>
    <w:p w14:paraId="539D79BD">
      <w:pPr>
        <w:widowControl/>
        <w:spacing w:line="520" w:lineRule="exact"/>
        <w:ind w:firstLine="562" w:firstLineChars="200"/>
        <w:jc w:val="left"/>
        <w:outlineLvl w:val="2"/>
        <w:rPr>
          <w:rFonts w:hint="eastAsia" w:ascii="Times New Roman" w:hAnsi="Times New Roman" w:eastAsia="国标仿宋-GB/T 2312"/>
          <w:b/>
          <w:bCs/>
          <w:kern w:val="0"/>
          <w:sz w:val="28"/>
          <w:szCs w:val="28"/>
          <w:lang w:val="en-US" w:eastAsia="zh-CN" w:bidi="ar"/>
        </w:rPr>
      </w:pPr>
    </w:p>
    <w:tbl>
      <w:tblPr>
        <w:tblStyle w:val="10"/>
        <w:tblW w:w="9075" w:type="dxa"/>
        <w:tblInd w:w="-356" w:type="dxa"/>
        <w:tblLayout w:type="fixed"/>
        <w:tblCellMar>
          <w:top w:w="0" w:type="dxa"/>
          <w:left w:w="0" w:type="dxa"/>
          <w:bottom w:w="0" w:type="dxa"/>
          <w:right w:w="0" w:type="dxa"/>
        </w:tblCellMar>
      </w:tblPr>
      <w:tblGrid>
        <w:gridCol w:w="1020"/>
        <w:gridCol w:w="750"/>
        <w:gridCol w:w="716"/>
        <w:gridCol w:w="541"/>
        <w:gridCol w:w="531"/>
        <w:gridCol w:w="539"/>
        <w:gridCol w:w="655"/>
        <w:gridCol w:w="773"/>
        <w:gridCol w:w="773"/>
        <w:gridCol w:w="796"/>
        <w:gridCol w:w="1141"/>
        <w:gridCol w:w="840"/>
      </w:tblGrid>
      <w:tr w14:paraId="62B07864">
        <w:tblPrEx>
          <w:tblCellMar>
            <w:top w:w="0" w:type="dxa"/>
            <w:left w:w="0" w:type="dxa"/>
            <w:bottom w:w="0" w:type="dxa"/>
            <w:right w:w="0" w:type="dxa"/>
          </w:tblCellMar>
        </w:tblPrEx>
        <w:trPr>
          <w:trHeight w:val="100" w:hRule="atLeast"/>
        </w:trPr>
        <w:tc>
          <w:tcPr>
            <w:tcW w:w="1020" w:type="dxa"/>
            <w:vMerge w:val="restart"/>
            <w:tcBorders>
              <w:top w:val="single" w:color="000000" w:sz="4" w:space="0"/>
              <w:left w:val="single" w:color="000000" w:sz="4" w:space="0"/>
              <w:right w:val="single" w:color="000000" w:sz="4" w:space="0"/>
            </w:tcBorders>
            <w:tcMar>
              <w:top w:w="10" w:type="dxa"/>
              <w:left w:w="10" w:type="dxa"/>
              <w:bottom w:w="0" w:type="dxa"/>
              <w:right w:w="10" w:type="dxa"/>
            </w:tcMar>
            <w:vAlign w:val="center"/>
          </w:tcPr>
          <w:p w14:paraId="30412F8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专业技术职务</w:t>
            </w:r>
          </w:p>
        </w:tc>
        <w:tc>
          <w:tcPr>
            <w:tcW w:w="750"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4FC934E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人数合计</w:t>
            </w:r>
          </w:p>
        </w:tc>
        <w:tc>
          <w:tcPr>
            <w:tcW w:w="2982" w:type="dxa"/>
            <w:gridSpan w:val="5"/>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500044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年龄分布</w:t>
            </w:r>
          </w:p>
        </w:tc>
        <w:tc>
          <w:tcPr>
            <w:tcW w:w="1546" w:type="dxa"/>
            <w:gridSpan w:val="2"/>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CB0B04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学历结构</w:t>
            </w:r>
          </w:p>
        </w:tc>
        <w:tc>
          <w:tcPr>
            <w:tcW w:w="796"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4168165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硕士导师人数</w:t>
            </w:r>
          </w:p>
        </w:tc>
        <w:tc>
          <w:tcPr>
            <w:tcW w:w="1141"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512F0E4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最高学位非本单位授予的人数</w:t>
            </w:r>
          </w:p>
        </w:tc>
        <w:tc>
          <w:tcPr>
            <w:tcW w:w="840" w:type="dxa"/>
            <w:vMerge w:val="restart"/>
            <w:tcBorders>
              <w:top w:val="single" w:color="000000" w:sz="4" w:space="0"/>
              <w:left w:val="nil"/>
              <w:right w:val="single" w:color="000000" w:sz="4" w:space="0"/>
            </w:tcBorders>
            <w:tcMar>
              <w:top w:w="10" w:type="dxa"/>
              <w:left w:w="10" w:type="dxa"/>
              <w:bottom w:w="0" w:type="dxa"/>
              <w:right w:w="10" w:type="dxa"/>
            </w:tcMar>
            <w:vAlign w:val="center"/>
          </w:tcPr>
          <w:p w14:paraId="1543BCD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兼职硕导人数</w:t>
            </w:r>
          </w:p>
        </w:tc>
      </w:tr>
      <w:tr w14:paraId="03DF43F0">
        <w:tblPrEx>
          <w:tblCellMar>
            <w:top w:w="0" w:type="dxa"/>
            <w:left w:w="0" w:type="dxa"/>
            <w:bottom w:w="0" w:type="dxa"/>
            <w:right w:w="0" w:type="dxa"/>
          </w:tblCellMar>
        </w:tblPrEx>
        <w:trPr>
          <w:trHeight w:val="600" w:hRule="atLeast"/>
        </w:trPr>
        <w:tc>
          <w:tcPr>
            <w:tcW w:w="1020" w:type="dxa"/>
            <w:vMerge w:val="continue"/>
            <w:tcBorders>
              <w:left w:val="single" w:color="000000" w:sz="4" w:space="0"/>
              <w:bottom w:val="single" w:color="000000" w:sz="4" w:space="0"/>
              <w:right w:val="single" w:color="000000" w:sz="4" w:space="0"/>
            </w:tcBorders>
            <w:tcMar>
              <w:top w:w="10" w:type="dxa"/>
              <w:left w:w="10" w:type="dxa"/>
              <w:bottom w:w="0" w:type="dxa"/>
              <w:right w:w="10" w:type="dxa"/>
            </w:tcMar>
            <w:vAlign w:val="center"/>
          </w:tcPr>
          <w:p w14:paraId="270790F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50"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684FFD4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FB4B8E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25岁及以下</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326588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26至35岁</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11EE80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36至45岁</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9B7CB6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46至59岁</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B03021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60岁及以上</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D74E85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博士学位教师</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901B7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硕士学位教师</w:t>
            </w:r>
          </w:p>
        </w:tc>
        <w:tc>
          <w:tcPr>
            <w:tcW w:w="796"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01EAAE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141"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2327EE8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840" w:type="dxa"/>
            <w:vMerge w:val="continue"/>
            <w:tcBorders>
              <w:left w:val="nil"/>
              <w:bottom w:val="single" w:color="000000" w:sz="4" w:space="0"/>
              <w:right w:val="single" w:color="000000" w:sz="4" w:space="0"/>
            </w:tcBorders>
            <w:tcMar>
              <w:top w:w="10" w:type="dxa"/>
              <w:left w:w="10" w:type="dxa"/>
              <w:bottom w:w="0" w:type="dxa"/>
              <w:right w:w="10" w:type="dxa"/>
            </w:tcMar>
            <w:vAlign w:val="center"/>
          </w:tcPr>
          <w:p w14:paraId="4DF67B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r>
      <w:tr w14:paraId="7A1C136C">
        <w:tblPrEx>
          <w:tblCellMar>
            <w:top w:w="0" w:type="dxa"/>
            <w:left w:w="0" w:type="dxa"/>
            <w:bottom w:w="0" w:type="dxa"/>
            <w:right w:w="0" w:type="dxa"/>
          </w:tblCellMar>
        </w:tblPrEx>
        <w:trPr>
          <w:trHeight w:val="239"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273E0D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正高级</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29BB3D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A5021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F33E42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4C4D43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E0EC5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7B9F4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3D8E75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330E18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548025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68E430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AAD6C2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14:paraId="492A96AB">
        <w:tblPrEx>
          <w:tblCellMar>
            <w:top w:w="0" w:type="dxa"/>
            <w:left w:w="0" w:type="dxa"/>
            <w:bottom w:w="0" w:type="dxa"/>
            <w:right w:w="0" w:type="dxa"/>
          </w:tblCellMar>
        </w:tblPrEx>
        <w:trPr>
          <w:trHeight w:val="301"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222219F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副高级</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14AB26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9AC0B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83EB91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94FDAF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78FD1E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374702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4FF247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B27C29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F60623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FA47F2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4AF6E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14:paraId="044A9AAD">
        <w:tblPrEx>
          <w:tblCellMar>
            <w:top w:w="0" w:type="dxa"/>
            <w:left w:w="0" w:type="dxa"/>
            <w:bottom w:w="0" w:type="dxa"/>
            <w:right w:w="0" w:type="dxa"/>
          </w:tblCellMar>
        </w:tblPrEx>
        <w:trPr>
          <w:trHeight w:val="93"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01E2FBA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中级</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BDC43B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C1E1FA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AB1B4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E6349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212607C">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60C654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496A57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256C16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546CAA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7D9965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169D62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14:paraId="323B25CC">
        <w:tblPrEx>
          <w:tblCellMar>
            <w:top w:w="0" w:type="dxa"/>
            <w:left w:w="0" w:type="dxa"/>
            <w:bottom w:w="0" w:type="dxa"/>
            <w:right w:w="0" w:type="dxa"/>
          </w:tblCellMar>
        </w:tblPrEx>
        <w:trPr>
          <w:trHeight w:val="183"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3D1C8AF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其他</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0B0C98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D432D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53F3B5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5D4B7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C8E82C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23B06FF">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D883927">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E05892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56C4E8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370C657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19D14F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r w14:paraId="7F42E6E9">
        <w:tblPrEx>
          <w:tblCellMar>
            <w:top w:w="0" w:type="dxa"/>
            <w:left w:w="0" w:type="dxa"/>
            <w:bottom w:w="0" w:type="dxa"/>
            <w:right w:w="0" w:type="dxa"/>
          </w:tblCellMar>
        </w:tblPrEx>
        <w:trPr>
          <w:trHeight w:val="60" w:hRule="atLeast"/>
        </w:trPr>
        <w:tc>
          <w:tcPr>
            <w:tcW w:w="1020" w:type="dxa"/>
            <w:tcBorders>
              <w:top w:val="single" w:color="000000" w:sz="4" w:space="0"/>
              <w:left w:val="single" w:color="000000" w:sz="4" w:space="0"/>
              <w:bottom w:val="single" w:color="000000" w:sz="4" w:space="0"/>
              <w:right w:val="single" w:color="000000" w:sz="4" w:space="0"/>
            </w:tcBorders>
            <w:tcMar>
              <w:top w:w="10" w:type="dxa"/>
              <w:left w:w="10" w:type="dxa"/>
              <w:bottom w:w="0" w:type="dxa"/>
              <w:right w:w="10" w:type="dxa"/>
            </w:tcMar>
            <w:vAlign w:val="center"/>
          </w:tcPr>
          <w:p w14:paraId="2225CE9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总计</w:t>
            </w:r>
          </w:p>
        </w:tc>
        <w:tc>
          <w:tcPr>
            <w:tcW w:w="75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F7240C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140</w:t>
            </w:r>
          </w:p>
        </w:tc>
        <w:tc>
          <w:tcPr>
            <w:tcW w:w="71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7D2C03A8">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c>
          <w:tcPr>
            <w:tcW w:w="5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C953D6B">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w:t>
            </w:r>
          </w:p>
        </w:tc>
        <w:tc>
          <w:tcPr>
            <w:tcW w:w="53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2461EF3D">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w:t>
            </w:r>
          </w:p>
        </w:tc>
        <w:tc>
          <w:tcPr>
            <w:tcW w:w="539"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C23C7EE">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59</w:t>
            </w:r>
          </w:p>
        </w:tc>
        <w:tc>
          <w:tcPr>
            <w:tcW w:w="655"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3B9EE5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6EF8991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w:t>
            </w:r>
          </w:p>
        </w:tc>
        <w:tc>
          <w:tcPr>
            <w:tcW w:w="773"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5216681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83</w:t>
            </w:r>
          </w:p>
        </w:tc>
        <w:tc>
          <w:tcPr>
            <w:tcW w:w="796"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0A32420">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57</w:t>
            </w:r>
          </w:p>
        </w:tc>
        <w:tc>
          <w:tcPr>
            <w:tcW w:w="1141"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4DADB232">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133</w:t>
            </w:r>
          </w:p>
        </w:tc>
        <w:tc>
          <w:tcPr>
            <w:tcW w:w="840" w:type="dxa"/>
            <w:tcBorders>
              <w:top w:val="single" w:color="000000" w:sz="4" w:space="0"/>
              <w:left w:val="nil"/>
              <w:bottom w:val="single" w:color="000000" w:sz="4" w:space="0"/>
              <w:right w:val="single" w:color="000000" w:sz="4" w:space="0"/>
            </w:tcBorders>
            <w:tcMar>
              <w:top w:w="10" w:type="dxa"/>
              <w:left w:w="10" w:type="dxa"/>
              <w:bottom w:w="0" w:type="dxa"/>
              <w:right w:w="10" w:type="dxa"/>
            </w:tcMar>
            <w:vAlign w:val="center"/>
          </w:tcPr>
          <w:p w14:paraId="1B9A087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0</w:t>
            </w:r>
          </w:p>
        </w:tc>
      </w:tr>
    </w:tbl>
    <w:p w14:paraId="4B99EAEE">
      <w:pPr>
        <w:widowControl/>
        <w:spacing w:line="520" w:lineRule="exact"/>
        <w:ind w:firstLine="562" w:firstLineChars="200"/>
        <w:jc w:val="left"/>
        <w:outlineLvl w:val="2"/>
        <w:rPr>
          <w:rFonts w:hint="eastAsia" w:ascii="Times New Roman" w:hAnsi="Times New Roman" w:eastAsia="国标仿宋-GB/T 2312"/>
          <w:b/>
          <w:bCs/>
          <w:kern w:val="0"/>
          <w:sz w:val="28"/>
          <w:szCs w:val="28"/>
          <w:lang w:val="en-US" w:eastAsia="zh-CN" w:bidi="ar"/>
        </w:rPr>
      </w:pPr>
      <w:bookmarkStart w:id="17" w:name="_Toc25520950"/>
      <w:bookmarkStart w:id="18" w:name="_Toc25521461"/>
      <w:bookmarkStart w:id="19" w:name="_Toc28200060"/>
      <w:bookmarkStart w:id="20" w:name="_Toc25679685"/>
      <w:bookmarkStart w:id="21" w:name="_Toc5301"/>
      <w:bookmarkStart w:id="22" w:name="_Toc25520498"/>
      <w:bookmarkStart w:id="23" w:name="_Toc18453"/>
      <w:bookmarkStart w:id="24" w:name="_Toc25521201"/>
      <w:bookmarkStart w:id="25" w:name="_Toc25680014"/>
      <w:bookmarkStart w:id="26" w:name="_Toc31344"/>
      <w:bookmarkStart w:id="27" w:name="_Toc25661823"/>
      <w:bookmarkStart w:id="28" w:name="_Toc23962"/>
    </w:p>
    <w:p w14:paraId="44A16F42">
      <w:pPr>
        <w:widowControl/>
        <w:spacing w:line="520" w:lineRule="exact"/>
        <w:ind w:firstLine="562" w:firstLineChars="200"/>
        <w:jc w:val="left"/>
        <w:outlineLvl w:val="2"/>
        <w:rPr>
          <w:rFonts w:ascii="Times New Roman" w:hAnsi="Times New Roman" w:eastAsia="国标仿宋-GB/T 2312"/>
          <w:b/>
          <w:bCs/>
          <w:kern w:val="0"/>
          <w:sz w:val="28"/>
          <w:szCs w:val="28"/>
          <w:lang w:bidi="ar"/>
        </w:rPr>
      </w:pPr>
      <w:r>
        <w:rPr>
          <w:rFonts w:hint="eastAsia" w:ascii="Times New Roman" w:hAnsi="Times New Roman" w:eastAsia="国标仿宋-GB/T 2312"/>
          <w:b/>
          <w:bCs/>
          <w:kern w:val="0"/>
          <w:sz w:val="28"/>
          <w:szCs w:val="28"/>
          <w:lang w:val="en-US" w:eastAsia="zh-CN" w:bidi="ar"/>
        </w:rPr>
        <w:t>2.2学科主要方向、学科带头人及中青年学术骨</w:t>
      </w:r>
      <w:r>
        <w:rPr>
          <w:rFonts w:ascii="Times New Roman" w:hAnsi="Times New Roman" w:eastAsia="国标仿宋-GB/T 2312"/>
          <w:b/>
          <w:bCs/>
          <w:kern w:val="0"/>
          <w:sz w:val="28"/>
          <w:szCs w:val="28"/>
          <w:lang w:bidi="ar"/>
        </w:rPr>
        <w:t>干</w:t>
      </w:r>
    </w:p>
    <w:p w14:paraId="3FD0D230">
      <w:pPr>
        <w:widowControl/>
        <w:spacing w:line="520" w:lineRule="exact"/>
        <w:ind w:firstLine="562" w:firstLineChars="200"/>
        <w:jc w:val="left"/>
        <w:outlineLvl w:val="2"/>
        <w:rPr>
          <w:rFonts w:ascii="Times New Roman" w:hAnsi="Times New Roman" w:eastAsia="国标仿宋-GB/T 2312"/>
          <w:b/>
          <w:bCs/>
          <w:kern w:val="0"/>
          <w:sz w:val="28"/>
          <w:szCs w:val="28"/>
          <w:lang w:bidi="ar"/>
        </w:rPr>
      </w:pPr>
    </w:p>
    <w:tbl>
      <w:tblPr>
        <w:tblStyle w:val="10"/>
        <w:tblW w:w="93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960"/>
        <w:gridCol w:w="597"/>
        <w:gridCol w:w="1037"/>
        <w:gridCol w:w="909"/>
        <w:gridCol w:w="960"/>
        <w:gridCol w:w="3969"/>
      </w:tblGrid>
      <w:tr w14:paraId="51ADE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171CBA">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学科方向名称</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ABD3BC">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项目</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705689">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姓名</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18524E">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年龄</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242C0">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职称</w:t>
            </w:r>
          </w:p>
        </w:tc>
        <w:tc>
          <w:tcPr>
            <w:tcW w:w="3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B33322">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代表性学术成果</w:t>
            </w:r>
          </w:p>
        </w:tc>
      </w:tr>
      <w:tr w14:paraId="02FA1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FCAFC">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3E9DE">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F19AE">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2AAD9">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8966B2">
            <w:pPr>
              <w:jc w:val="center"/>
              <w:rPr>
                <w:rFonts w:hint="eastAsia" w:ascii="仿宋" w:hAnsi="仿宋" w:eastAsia="仿宋" w:cs="仿宋"/>
                <w:i w:val="0"/>
                <w:iCs w:val="0"/>
                <w:color w:val="000000"/>
                <w:sz w:val="24"/>
                <w:szCs w:val="24"/>
                <w:highlight w:val="none"/>
                <w:u w:val="none"/>
              </w:rPr>
            </w:pPr>
          </w:p>
        </w:tc>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99198">
            <w:pPr>
              <w:jc w:val="center"/>
              <w:rPr>
                <w:rFonts w:hint="eastAsia" w:ascii="仿宋" w:hAnsi="仿宋" w:eastAsia="仿宋" w:cs="仿宋"/>
                <w:i w:val="0"/>
                <w:iCs w:val="0"/>
                <w:color w:val="000000"/>
                <w:sz w:val="24"/>
                <w:szCs w:val="24"/>
                <w:highlight w:val="none"/>
                <w:u w:val="none"/>
              </w:rPr>
            </w:pPr>
          </w:p>
        </w:tc>
      </w:tr>
      <w:tr w14:paraId="6A14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E6A0D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外科学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E4B2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带头人</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C4D0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 楠</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7A26C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p>
          <w:p w14:paraId="2C802F2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0BE593">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21A47A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DC2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1.河南省自然科学基金：基于护场理论探讨厚朴三物汤通过Rab27a调控结直肠癌外泌体的机制研究；</w:t>
            </w:r>
          </w:p>
        </w:tc>
      </w:tr>
      <w:tr w14:paraId="0F6F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123F5">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85ECD1">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D9407">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AFB9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103DFF">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6D92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2.河南省中医药管理局：基于TGF-β1观察结直肠癌患者血清外泌体及黄芪多糖干预研究</w:t>
            </w:r>
          </w:p>
        </w:tc>
      </w:tr>
      <w:tr w14:paraId="6202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7F2A1">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1728B8">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BC3A08">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6041D">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14FBF1">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D10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 大承气汤联合西医在脓毒症治疗中的相关研究进展；中国实验方剂学杂志；2022,33(10):1183-1188</w:t>
            </w:r>
          </w:p>
        </w:tc>
      </w:tr>
      <w:tr w14:paraId="206A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21A22">
            <w:pPr>
              <w:jc w:val="center"/>
              <w:rPr>
                <w:rFonts w:hint="eastAsia" w:ascii="仿宋" w:hAnsi="仿宋" w:eastAsia="仿宋" w:cs="仿宋"/>
                <w:i w:val="0"/>
                <w:iCs w:val="0"/>
                <w:color w:val="000000"/>
                <w:sz w:val="24"/>
                <w:szCs w:val="24"/>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7E589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中青年学术骨干</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BEA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590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苑军正</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081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8C2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59A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舒肝健脾活血方对脾切断流术后门静脉血栓形成相关因子的影响；新中医；2022,54(02):71-74.</w:t>
            </w:r>
          </w:p>
        </w:tc>
      </w:tr>
      <w:tr w14:paraId="2B6A8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E069BE">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E8C40">
            <w:pPr>
              <w:jc w:val="center"/>
              <w:rPr>
                <w:rFonts w:hint="eastAsia" w:ascii="仿宋" w:hAnsi="仿宋" w:eastAsia="仿宋" w:cs="仿宋"/>
                <w:i w:val="0"/>
                <w:iCs w:val="0"/>
                <w:color w:val="000000"/>
                <w:sz w:val="24"/>
                <w:szCs w:val="24"/>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49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4B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王兆阳</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414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659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A77B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河南省中医药科学研究专项：基于肝-肠轴探讨厚补三物汤调控肠道菌群对胆囊切除术后胆汁组分变化的机制研究；</w:t>
            </w:r>
          </w:p>
        </w:tc>
      </w:tr>
      <w:tr w14:paraId="19BA3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5C9DE">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9D19D">
            <w:pPr>
              <w:jc w:val="center"/>
              <w:rPr>
                <w:rFonts w:hint="eastAsia" w:ascii="仿宋" w:hAnsi="仿宋" w:eastAsia="仿宋" w:cs="仿宋"/>
                <w:i w:val="0"/>
                <w:iCs w:val="0"/>
                <w:color w:val="000000"/>
                <w:sz w:val="24"/>
                <w:szCs w:val="24"/>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A6B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10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黄晶晶</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B9E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F181">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主治</w:t>
            </w:r>
          </w:p>
          <w:p w14:paraId="6D1489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E48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清热利胆汤联合内镜逆行胰胆管造影术治疗急性梗阻性化脓性胆管炎36例；中医研究;2021,34(04):9-12.</w:t>
            </w:r>
          </w:p>
        </w:tc>
      </w:tr>
      <w:tr w14:paraId="12E6B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195BA">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635E0">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5112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4523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刘翔</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FEF6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6D44F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主治</w:t>
            </w:r>
          </w:p>
          <w:p w14:paraId="79BBD7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F2E0F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人参健脾汤加减联合双歧杆菌四联活菌片治疗腹腔镜胆囊切除术后腹泻临床研究；新中医;2021,53(13):36-39.</w:t>
            </w:r>
          </w:p>
        </w:tc>
      </w:tr>
      <w:tr w14:paraId="3A510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66189F">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92451">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045CF">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6F091">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C371C8">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6B2A5">
            <w:pPr>
              <w:jc w:val="center"/>
              <w:rPr>
                <w:rFonts w:hint="eastAsia" w:ascii="仿宋" w:hAnsi="仿宋" w:eastAsia="仿宋" w:cs="仿宋"/>
                <w:i w:val="0"/>
                <w:iCs w:val="0"/>
                <w:color w:val="000000"/>
                <w:sz w:val="24"/>
                <w:szCs w:val="24"/>
                <w:highlight w:val="none"/>
                <w:u w:val="none"/>
              </w:rPr>
            </w:pPr>
          </w:p>
        </w:tc>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1BB66">
            <w:pPr>
              <w:jc w:val="left"/>
              <w:rPr>
                <w:rFonts w:hint="eastAsia" w:ascii="仿宋" w:hAnsi="仿宋" w:eastAsia="仿宋" w:cs="仿宋"/>
                <w:i w:val="0"/>
                <w:iCs w:val="0"/>
                <w:color w:val="000000"/>
                <w:sz w:val="24"/>
                <w:szCs w:val="24"/>
                <w:highlight w:val="none"/>
                <w:u w:val="none"/>
              </w:rPr>
            </w:pPr>
          </w:p>
        </w:tc>
      </w:tr>
      <w:tr w14:paraId="6B4D8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706DE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神经介入方向</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45AB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带头人</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063C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吴 涛</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8B7C1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5B2EB">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7F67AB4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EE58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Association between plasma total homocysteine (tHcy) and strokes: A meta-analysis；Pteridines；2022,33,58-68</w:t>
            </w:r>
          </w:p>
        </w:tc>
      </w:tr>
      <w:tr w14:paraId="077D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2632F">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63B6D">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56ADD">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C79C4">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04E74">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5263">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Stent retriever thrombectomy in the treatment of basal artery stent thrombosis Two case reports；Medicine；2022; 101 (36): e30541.</w:t>
            </w:r>
          </w:p>
        </w:tc>
      </w:tr>
      <w:tr w14:paraId="4C98B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74743">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92864">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D0857">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5DCEB">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ED7169">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C99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 外周血免疫细胞变化与脑血管狭窄的关系研究；中国实用神经疾病杂志；2022,25,723-728</w:t>
            </w:r>
          </w:p>
        </w:tc>
      </w:tr>
      <w:tr w14:paraId="214D2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C61BA3">
            <w:pPr>
              <w:jc w:val="center"/>
              <w:rPr>
                <w:rFonts w:hint="eastAsia" w:ascii="仿宋" w:hAnsi="仿宋" w:eastAsia="仿宋" w:cs="仿宋"/>
                <w:i w:val="0"/>
                <w:iCs w:val="0"/>
                <w:color w:val="000000"/>
                <w:sz w:val="24"/>
                <w:szCs w:val="24"/>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2907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中青年学术骨干</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2513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6E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杨冬谊</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D6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C30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主治</w:t>
            </w:r>
          </w:p>
          <w:p w14:paraId="0C28923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8D82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河南省科技攻关项目：GM-CSF诱导细胞分裂周期增强脑胶质瘤干细胞对替莫唑胺化学敏感性的作用机制研究</w:t>
            </w:r>
          </w:p>
        </w:tc>
      </w:tr>
      <w:tr w14:paraId="23B3A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165020">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9BCFB3">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2B1C9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38C85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秦福芳</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02CB77">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EACDF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613B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某市级医院全科师资教学现状调查及对策；河南医学研究；2022.11,21(31):3972-3976</w:t>
            </w:r>
          </w:p>
        </w:tc>
      </w:tr>
      <w:tr w14:paraId="2EAB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F156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B52CC">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C675B">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390598">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F9ECA">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8E87A">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B13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黄芪汤加减治疗老年便秘临床观察; 实用中医药杂志; 2022.12, 38 (12):2070-2072</w:t>
            </w:r>
          </w:p>
        </w:tc>
      </w:tr>
      <w:tr w14:paraId="1833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49D06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D3ED8">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90E37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C256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付胜奇</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317E5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9B0B44">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746652C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F6D5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脑淀粉样血管病患者腔隙性脑梗死与脑微梗死及颅内出血的关系研究; 中华老年心脑血管病杂志; 2022,24(12):1323-1325</w:t>
            </w:r>
          </w:p>
        </w:tc>
      </w:tr>
      <w:tr w14:paraId="73D8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3A631">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CE006">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866E6">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1ED80">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2DE65">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F5D7">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E5F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脑小血管病对前循环大血管闭塞脑卒中患者侧支循环的影响; 中华老年心脑血管病杂志;2022,39(6):533-535</w:t>
            </w:r>
          </w:p>
        </w:tc>
      </w:tr>
      <w:tr w14:paraId="64A89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31AE8B">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459FA6">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CCF36">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C5AE4">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6AA075">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EA0D8D">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E80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 1型神经纤维瘤病导致颅内动静脉畸形并动脉瘤1例报告及文献复习; 中风与神经疾病杂志;2022,39(4):357-359</w:t>
            </w:r>
          </w:p>
        </w:tc>
      </w:tr>
      <w:tr w14:paraId="5AFFE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32D83">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784B4F">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EA0C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C7F5A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张燕平</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C70187">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sz w:val="24"/>
                <w:szCs w:val="24"/>
                <w:highlight w:val="none"/>
                <w:u w:val="none"/>
                <w:lang w:val="en-US" w:eastAsia="zh-CN"/>
              </w:rPr>
              <w:t>51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DD4CA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7A736F6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7133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1.自选课题：基于CCK8/IL-10/STAT3通路探究中风星蒌通腑胶囊对脑出血大鼠的抗炎机制</w:t>
            </w:r>
          </w:p>
        </w:tc>
      </w:tr>
      <w:tr w14:paraId="4003B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30EB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C92D0">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B705B">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50D69">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9D22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215B2">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B81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2.不同中医证型偏头痛患者脑白质异常与认知功能损害的关系; 中国中西医结合杂志; 2022,42(01):29-33.</w:t>
            </w:r>
          </w:p>
        </w:tc>
      </w:tr>
      <w:tr w14:paraId="697B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A21C63">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8D9007">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E682C5">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F2D64">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F0CE8">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03DD2D">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C787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 PI3K/Akt信号通路与脑出血的研究进展; 新医学; 2022,53(05):310-313.</w:t>
            </w:r>
          </w:p>
        </w:tc>
      </w:tr>
      <w:tr w14:paraId="04A53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467C1C">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364891">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E5AF0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9BE7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禹萌</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5EE7A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74A2C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022C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1.帕金森病患者认知障碍的血管性影响因素；河南医学研究；2023,32(17):3110-3113.</w:t>
            </w:r>
          </w:p>
        </w:tc>
      </w:tr>
      <w:tr w14:paraId="584A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5DB8D">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2DA61">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9BA56">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A06E26">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F6ACD">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4376A">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6A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2.前循环急性脑梗死患者的炎症特征及其与脑白质高信号负荷的关系；中华老年心脑血管病杂志；2023,25(09):966-969.</w:t>
            </w:r>
          </w:p>
        </w:tc>
      </w:tr>
      <w:tr w14:paraId="062D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B4C88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内科学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F36C3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带头人</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71533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陈玉善</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664074">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49</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DC17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7D0132A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011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1.巨噬细胞PI3K/Akt通路与动脉粥样硬化的研究进展；中国免疫学杂志；2022,38(01):102-106.</w:t>
            </w:r>
          </w:p>
        </w:tc>
      </w:tr>
      <w:tr w14:paraId="6FF5C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D54E13">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6E2E2A">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9C0157">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BA02F">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EBE5F">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CFE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2.微管亲和调节激酶4的生理功能及其在心血管疾病中的研究进展；解放军医学院学报</w:t>
            </w:r>
          </w:p>
        </w:tc>
      </w:tr>
      <w:tr w14:paraId="5B0F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7F4A82">
            <w:pPr>
              <w:jc w:val="center"/>
              <w:rPr>
                <w:rFonts w:hint="eastAsia" w:ascii="仿宋" w:hAnsi="仿宋" w:eastAsia="仿宋" w:cs="仿宋"/>
                <w:i w:val="0"/>
                <w:iCs w:val="0"/>
                <w:color w:val="000000"/>
                <w:sz w:val="24"/>
                <w:szCs w:val="24"/>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9ED2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中青年学术骨干</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5EE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AB98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解金红</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D964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72380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108A7DF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249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基于网络药理学和分子对接研究参松养心胶囊治疗心房颤动的作用机制；世界中医药；2022, 17 (20): 2829-2835</w:t>
            </w:r>
          </w:p>
        </w:tc>
      </w:tr>
      <w:tr w14:paraId="08D9C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2295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DCB99">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8A9BA6">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FC986F">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3AFC0">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4776D7">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7B4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麝香通心滴丸治疗慢性心力衰竭的Meta分析和试验序贯分；实用中医内科杂志；022, 36 (05): 26-29+151-153</w:t>
            </w:r>
          </w:p>
        </w:tc>
      </w:tr>
      <w:tr w14:paraId="43DC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27AFA">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72217">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665FD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7E63C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刘新灿</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8FE0B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6ED5F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2A6A44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1266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免疫球蛋白辅助治疗扩张型心肌病疗效与安全性的Meta分析；药物评价研究；2022, 45 (08): 1660-1670</w:t>
            </w:r>
          </w:p>
        </w:tc>
      </w:tr>
      <w:tr w14:paraId="3821C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14BD2">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4FB226">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E013E4">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3B96F">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F424DB">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E64BA">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C70B">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通心络对小鼠钙化性主动脉瓣膜病早期病变的影响研究；中国比较医学杂志；2022, 32 (01): 82-88+140</w:t>
            </w:r>
          </w:p>
        </w:tc>
      </w:tr>
      <w:tr w14:paraId="0A99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F949F3">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66F42">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8C8D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D97BC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王贺</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37D85">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39</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F594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A76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1.国家自然科学基金项目：益气活血法基于电-代谢通路改善缺血性心力衰竭心肌能量代谢的机制研究；</w:t>
            </w:r>
          </w:p>
        </w:tc>
      </w:tr>
      <w:tr w14:paraId="38C06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B04AB">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92104">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F55F">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D01DA">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071A7">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3A16F">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C62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2.河南省中医药科学研究专项课题:参附益心颗粒通过调控心肌细胞线粒体自噬改善心肌梗死大鼠心室重构的机制研究;</w:t>
            </w:r>
          </w:p>
        </w:tc>
      </w:tr>
      <w:tr w14:paraId="4246B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E571B">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2A7F1F">
            <w:pPr>
              <w:jc w:val="center"/>
              <w:rPr>
                <w:rFonts w:hint="eastAsia" w:ascii="仿宋" w:hAnsi="仿宋" w:eastAsia="仿宋" w:cs="仿宋"/>
                <w:i w:val="0"/>
                <w:iCs w:val="0"/>
                <w:color w:val="000000"/>
                <w:sz w:val="24"/>
                <w:szCs w:val="24"/>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33D1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54A9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王 莉</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7B60">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0B0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主治</w:t>
            </w:r>
          </w:p>
          <w:p w14:paraId="0A2F15B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B17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国家自然科学基金：基于mTOR通路介导的自噬探讨丹蒌片抗动脉粥样硬化的机制研究；</w:t>
            </w:r>
          </w:p>
        </w:tc>
      </w:tr>
      <w:tr w14:paraId="7F1EB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8719A1">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A0BA3">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1B225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9AF44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陈磊</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1C41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1972C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1636220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DD5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1.河南省中医药科学研究专项课题: 通过分子垂钓技术分析通脉养心丸干预阿霉素性心肌纤维化的有效成分</w:t>
            </w:r>
          </w:p>
        </w:tc>
      </w:tr>
      <w:tr w14:paraId="7269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AE343">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DFE67">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DD953">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7DC64">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74D5AC">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9C4A1D">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1B4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急性心肌梗死患者血清N末端脑钠肽前体、载脂蛋白E、载脂蛋白A1、载脂蛋白B水平与冠状动脉病变的关系探究；中国临床医生杂志；2022，50(05):550-554</w:t>
            </w:r>
          </w:p>
        </w:tc>
      </w:tr>
      <w:tr w14:paraId="24AFB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D8564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急诊医学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4D35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带头人</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611F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张思森</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8EE50D">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59</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4EB69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0A8D560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94F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1.河南省卫生健康委员会：三穴五针联合腹部提压法在机械通气患者肺康复中的疗效评价研究</w:t>
            </w:r>
          </w:p>
        </w:tc>
      </w:tr>
      <w:tr w14:paraId="710DD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6B389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4B804">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981C1">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F3A31">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F5391">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6AE4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2.河南省卫生健康委员会：艾灸对流行性感冒预防作用的评价研究</w:t>
            </w:r>
          </w:p>
        </w:tc>
      </w:tr>
      <w:tr w14:paraId="0BE45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AC629">
            <w:pPr>
              <w:jc w:val="center"/>
              <w:rPr>
                <w:rFonts w:hint="eastAsia" w:ascii="仿宋" w:hAnsi="仿宋" w:eastAsia="仿宋" w:cs="仿宋"/>
                <w:i w:val="0"/>
                <w:iCs w:val="0"/>
                <w:color w:val="000000"/>
                <w:sz w:val="24"/>
                <w:szCs w:val="24"/>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773062">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DED25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38090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张林超</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67974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5BCE5C">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46F057A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892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芦荟苷通过调控PI3K/AKT信号通路抑制膀胱癌细胞T24增殖、促进细胞凋亡; 中国老年学杂志;2022,42(19):4815-4819.</w:t>
            </w:r>
          </w:p>
        </w:tc>
      </w:tr>
      <w:tr w14:paraId="37CF1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B5AA8B">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AB45C9">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8A7EC8">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3EDCDD">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AC7E2">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831117">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C14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毛兰素通过调控lncRNA LINC01354/miR-515-5p对前列腺癌细胞糖酵解、增殖、迁移和侵袭的影响; 中成药;2022,44(08):2688-2693.</w:t>
            </w:r>
          </w:p>
        </w:tc>
      </w:tr>
      <w:tr w14:paraId="28849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834F2D">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ABAF05">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BED44">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048143">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CE1755">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474FB">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9FE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 尿路结石体外冲击波碎石术后应用通淋化瘀排石汤对氧化应激及肾功能的影响; 实用中医药杂志;2022,38(01):7-9.</w:t>
            </w:r>
          </w:p>
        </w:tc>
      </w:tr>
      <w:tr w14:paraId="1C41E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41C09">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9F9F0">
            <w:pPr>
              <w:jc w:val="center"/>
              <w:rPr>
                <w:rFonts w:hint="eastAsia" w:ascii="仿宋" w:hAnsi="仿宋" w:eastAsia="仿宋" w:cs="仿宋"/>
                <w:i w:val="0"/>
                <w:iCs w:val="0"/>
                <w:color w:val="000000"/>
                <w:sz w:val="24"/>
                <w:szCs w:val="24"/>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343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64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毛峥嵘</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D02A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6992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754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北京医卫健康公益基金会: 多黏菌素E甲磺酸钠雾化治疗耐碳青酶烯类革兰氏阴性杆菌感染的临床对照研究</w:t>
            </w:r>
          </w:p>
        </w:tc>
      </w:tr>
      <w:tr w14:paraId="7F5CF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900D8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儿科学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84959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带头人</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0F7C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郭庆寅</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97BE6A">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49</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B8FE3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6D45A0D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142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1.河南省自然科学基金：基于咽部微生态学研究银翘散治疗儿童风热伤络型过敏性紫癜的机制</w:t>
            </w:r>
          </w:p>
        </w:tc>
      </w:tr>
      <w:tr w14:paraId="1A8F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197A3">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62C4AC">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B15FC">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A607E8">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71027">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D796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 </w:t>
            </w:r>
            <w:r>
              <w:rPr>
                <w:rFonts w:ascii="Arial" w:hAnsi="Arial" w:eastAsia="仿宋" w:cs="Arial"/>
                <w:i w:val="0"/>
                <w:iCs w:val="0"/>
                <w:color w:val="000000"/>
                <w:kern w:val="0"/>
                <w:sz w:val="24"/>
                <w:szCs w:val="24"/>
                <w:highlight w:val="none"/>
                <w:u w:val="none"/>
                <w:lang w:val="en-US" w:eastAsia="zh-CN" w:bidi="ar"/>
              </w:rPr>
              <w:t xml:space="preserve"> </w:t>
            </w:r>
            <w:r>
              <w:rPr>
                <w:rFonts w:hint="eastAsia" w:ascii="仿宋" w:hAnsi="仿宋" w:eastAsia="仿宋" w:cs="仿宋"/>
                <w:i w:val="0"/>
                <w:iCs w:val="0"/>
                <w:color w:val="000000"/>
                <w:kern w:val="0"/>
                <w:sz w:val="24"/>
                <w:szCs w:val="24"/>
                <w:highlight w:val="none"/>
                <w:u w:val="none"/>
                <w:lang w:val="en-US" w:eastAsia="zh-CN" w:bidi="ar"/>
              </w:rPr>
              <w:t>强的松联合环磷酰胺、中医辨证治疗儿童致密物沉积病一例并文献复习;郑州大学学报(医学版)</w:t>
            </w:r>
          </w:p>
        </w:tc>
      </w:tr>
      <w:tr w14:paraId="3EB7F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50D26">
            <w:pPr>
              <w:jc w:val="center"/>
              <w:rPr>
                <w:rFonts w:hint="eastAsia" w:ascii="仿宋" w:hAnsi="仿宋" w:eastAsia="仿宋" w:cs="仿宋"/>
                <w:i w:val="0"/>
                <w:iCs w:val="0"/>
                <w:color w:val="000000"/>
                <w:sz w:val="24"/>
                <w:szCs w:val="24"/>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DF1A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中青年学术骨干</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B6DD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F937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邱建利</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C40D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40</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8AD7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29C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胆道闭锁实验动物模型的比较; 中国比较医学杂志;2022,32(02):111-115.</w:t>
            </w:r>
          </w:p>
        </w:tc>
      </w:tr>
      <w:tr w14:paraId="7B2F3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51805B">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888AE">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95413">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C780E">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FB4F0">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86A10">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3CB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人呼吸道合胞病毒感染对机体相关免疫应答影响的研究进展; 病毒学报;2022,38(03):724-730.</w:t>
            </w:r>
          </w:p>
        </w:tc>
      </w:tr>
      <w:tr w14:paraId="73B5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54FDB">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D3D07">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7BA9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41A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李瑞星</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20C63">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38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E875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D406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抑强扶弱推拿法对痉挛型脑性瘫痪儿童上肢功能影响的临床研究; 中国康复医学杂志;2022,37(01):50-55.</w:t>
            </w:r>
          </w:p>
        </w:tc>
      </w:tr>
      <w:tr w14:paraId="76DC3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7AD08">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BC15A">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B23BF9">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8DC78">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2C9FA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F30A9">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9EC8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脑性瘫痪患儿足部畸形评定方法研究进展; 康复学报;2022,32(06):562-568.</w:t>
            </w:r>
          </w:p>
        </w:tc>
      </w:tr>
      <w:tr w14:paraId="11203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56DD1">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FEB29">
            <w:pPr>
              <w:jc w:val="center"/>
              <w:rPr>
                <w:rFonts w:hint="eastAsia" w:ascii="仿宋" w:hAnsi="仿宋" w:eastAsia="仿宋" w:cs="仿宋"/>
                <w:i w:val="0"/>
                <w:iCs w:val="0"/>
                <w:color w:val="000000"/>
                <w:sz w:val="24"/>
                <w:szCs w:val="24"/>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FF4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3F20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张慧娟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BD51">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DC45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463104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1FF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乙酰半胱氨酸溶液雾化吸入联合阿奇霉素序贯疗法对小儿支原体肺炎血气分析及氧化应激指标的影响;  临床医学研究与实践；2021,6(22):98-100.</w:t>
            </w:r>
          </w:p>
        </w:tc>
      </w:tr>
      <w:tr w14:paraId="024E3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E4347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影像医学与核医学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3361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带头人</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31A3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田力</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5D5C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58</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5F9ED">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2012FC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610E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 </w:t>
            </w:r>
            <w:r>
              <w:rPr>
                <w:rFonts w:ascii="Arial" w:hAnsi="Arial" w:eastAsia="仿宋" w:cs="Arial"/>
                <w:i w:val="0"/>
                <w:iCs w:val="0"/>
                <w:color w:val="000000"/>
                <w:kern w:val="0"/>
                <w:sz w:val="24"/>
                <w:szCs w:val="24"/>
                <w:highlight w:val="none"/>
                <w:u w:val="none"/>
                <w:lang w:val="en-US" w:eastAsia="zh-CN" w:bidi="ar"/>
              </w:rPr>
              <w:t xml:space="preserve"> </w:t>
            </w:r>
            <w:r>
              <w:rPr>
                <w:rFonts w:hint="eastAsia" w:ascii="仿宋" w:hAnsi="仿宋" w:eastAsia="仿宋" w:cs="仿宋"/>
                <w:i w:val="0"/>
                <w:iCs w:val="0"/>
                <w:color w:val="000000"/>
                <w:kern w:val="0"/>
                <w:sz w:val="24"/>
                <w:szCs w:val="24"/>
                <w:highlight w:val="none"/>
                <w:u w:val="none"/>
                <w:lang w:val="en-US" w:eastAsia="zh-CN" w:bidi="ar"/>
              </w:rPr>
              <w:t>产前超声诊断右冠状动脉右房瘘1例; 中国超声医学杂志；2022,38(10):1152.</w:t>
            </w:r>
          </w:p>
        </w:tc>
      </w:tr>
      <w:tr w14:paraId="22EE1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A4AF0A">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73CCA">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EC22B0">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67E160">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7A82D">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217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 </w:t>
            </w:r>
            <w:r>
              <w:rPr>
                <w:rFonts w:ascii="Arial" w:hAnsi="Arial" w:eastAsia="仿宋" w:cs="Arial"/>
                <w:i w:val="0"/>
                <w:iCs w:val="0"/>
                <w:color w:val="000000"/>
                <w:kern w:val="0"/>
                <w:sz w:val="24"/>
                <w:szCs w:val="24"/>
                <w:highlight w:val="none"/>
                <w:u w:val="none"/>
                <w:lang w:val="en-US" w:eastAsia="zh-CN" w:bidi="ar"/>
              </w:rPr>
              <w:t xml:space="preserve"> </w:t>
            </w:r>
            <w:r>
              <w:rPr>
                <w:rFonts w:hint="eastAsia" w:ascii="仿宋" w:hAnsi="仿宋" w:eastAsia="仿宋" w:cs="仿宋"/>
                <w:i w:val="0"/>
                <w:iCs w:val="0"/>
                <w:color w:val="000000"/>
                <w:kern w:val="0"/>
                <w:sz w:val="24"/>
                <w:szCs w:val="24"/>
                <w:highlight w:val="none"/>
                <w:u w:val="none"/>
                <w:lang w:val="en-US" w:eastAsia="zh-CN" w:bidi="ar"/>
              </w:rPr>
              <w:t>吞咽造影定量分析在球囊扩张联合针刺阿呛组穴治疗吞咽障碍中的应用价值; 临床放射学杂志；2022,41(07):1251-1255.</w:t>
            </w:r>
          </w:p>
        </w:tc>
      </w:tr>
      <w:tr w14:paraId="184A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1ABDA">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D03524">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6FE93">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A8364">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6AD337">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24F4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 产前超声于左无名静脉切面测量孕20～38周胎儿胸腺参数; 中国医学影像技术；2022,38(06):893-896.</w:t>
            </w:r>
          </w:p>
        </w:tc>
      </w:tr>
      <w:tr w14:paraId="363B0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851BB5">
            <w:pPr>
              <w:jc w:val="center"/>
              <w:rPr>
                <w:rFonts w:hint="eastAsia" w:ascii="仿宋" w:hAnsi="仿宋" w:eastAsia="仿宋" w:cs="仿宋"/>
                <w:i w:val="0"/>
                <w:iCs w:val="0"/>
                <w:color w:val="000000"/>
                <w:sz w:val="24"/>
                <w:szCs w:val="24"/>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3244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中青年学术骨干</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622A0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D3F71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张岚</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0D11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93095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ACFD4">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1.微小肝细胞癌的侦察兵——钆塞酸二钠增强MRI的策略; 中国医学影像学杂志；2022,30(10):979-980.</w:t>
            </w:r>
          </w:p>
        </w:tc>
      </w:tr>
      <w:tr w14:paraId="018BF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47FD5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29B0A">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4E966">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23A776">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C77DA">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1E65A">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964E7">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基于MRI影像组学构建新辅助放化疗后局部进展期直肠癌的预测模型; 中国医学影像学杂志；2022,30(09):881-888.</w:t>
            </w:r>
          </w:p>
        </w:tc>
      </w:tr>
      <w:tr w14:paraId="416D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C1F59A">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AB51E9">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6773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D0A99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王道清</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729E9B">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56</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2B008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3955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动态排粪造影联合3D肛门测压技术在诊断女性盆底功能障碍性疾病中的应用价值; 临床放射学杂志；2022.09.025.</w:t>
            </w:r>
          </w:p>
        </w:tc>
      </w:tr>
      <w:tr w14:paraId="2787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DBE49">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BC453">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1E8CF">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C9A94">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0DEF1">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5AB70">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32431">
            <w:pPr>
              <w:keepNext w:val="0"/>
              <w:keepLines w:val="0"/>
              <w:widowControl/>
              <w:suppressLineNumbers w:val="0"/>
              <w:jc w:val="lef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fldChar w:fldCharType="begin"/>
            </w:r>
            <w:r>
              <w:rPr>
                <w:rFonts w:hint="eastAsia" w:ascii="仿宋" w:hAnsi="仿宋" w:eastAsia="仿宋" w:cs="仿宋"/>
                <w:i w:val="0"/>
                <w:iCs w:val="0"/>
                <w:color w:val="000000"/>
                <w:kern w:val="0"/>
                <w:sz w:val="24"/>
                <w:szCs w:val="24"/>
                <w:highlight w:val="none"/>
                <w:u w:val="none"/>
                <w:lang w:val="en-US" w:eastAsia="zh-CN" w:bidi="ar"/>
              </w:rPr>
              <w:instrText xml:space="preserve"> HYPERLINK "https://webvpn.dlut.edu.cn/https/57787a7876706e323032336b6579402473161156ff0d9847e442ff2c/kcms2/article/abstract?v=jEKy9Hq18MJK6HT1acFvfKsWG5qXgURONdxAbJuziLm4z2rM1F_rjmfVstbQd0xK4Mvy4i_1wGHp_wWOtAtErMhxi4OpywGSSx09EmMU50-edxbXIq2ilknGDW2vlyAMkdcY3AnQ9OANN80DI5Qg3q5AzWQd1b_j_GsOAoj2hxJEpJ-Nbi3a_b_BOxZByq-a&amp;uniplatform=NZKPT&amp;language=CHS" \o "https://webvpn.dlut.edu.cn/https/57787a7876706e323032336b6579402473161156ff0d9847e442ff2c/kcms2/article/abstract?v=jEKy9Hq18MJK6HT1acFvfKsWG5qXgURONdxAbJuziLm4z2rM1F_rjmfVstbQd0xK4Mvy4i_1wGHp_wWOtAtErMhxi4OpywGSSx09EmMU50-edxbXIq2ilknGDW2vlyAMkdcY3AnQ9OANN80DI5Qg3q5AzWQd1b_j_GsOAoj2hxJEpJ-Nbi3a_b_BOxZByq-a&amp;uniplatform=NZKPT&amp;language=CHS" </w:instrText>
            </w:r>
            <w:r>
              <w:rPr>
                <w:rFonts w:hint="eastAsia" w:ascii="仿宋" w:hAnsi="仿宋" w:eastAsia="仿宋" w:cs="仿宋"/>
                <w:i w:val="0"/>
                <w:iCs w:val="0"/>
                <w:color w:val="000000"/>
                <w:kern w:val="0"/>
                <w:sz w:val="24"/>
                <w:szCs w:val="24"/>
                <w:highlight w:val="none"/>
                <w:u w:val="none"/>
                <w:lang w:val="en-US" w:eastAsia="zh-CN" w:bidi="ar"/>
              </w:rPr>
              <w:fldChar w:fldCharType="separate"/>
            </w:r>
            <w:r>
              <w:rPr>
                <w:rFonts w:hint="eastAsia" w:ascii="仿宋" w:hAnsi="仿宋" w:eastAsia="仿宋" w:cs="仿宋"/>
                <w:i w:val="0"/>
                <w:iCs w:val="0"/>
                <w:color w:val="000000"/>
                <w:kern w:val="0"/>
                <w:sz w:val="24"/>
                <w:szCs w:val="24"/>
                <w:highlight w:val="none"/>
                <w:u w:val="none"/>
                <w:lang w:val="en-US" w:eastAsia="zh-CN" w:bidi="ar"/>
              </w:rPr>
              <w:t>2.MSCT薄层重建对表现为肺纯磨玻璃结节的肺腺癌浸润性的定量分析; 医学影像学杂志；2022,32(01):38-41.</w:t>
            </w:r>
            <w:r>
              <w:rPr>
                <w:rFonts w:hint="eastAsia" w:ascii="仿宋" w:hAnsi="仿宋" w:eastAsia="仿宋" w:cs="仿宋"/>
                <w:i w:val="0"/>
                <w:iCs w:val="0"/>
                <w:color w:val="000000"/>
                <w:kern w:val="0"/>
                <w:sz w:val="24"/>
                <w:szCs w:val="24"/>
                <w:highlight w:val="none"/>
                <w:u w:val="none"/>
                <w:lang w:val="en-US" w:eastAsia="zh-CN" w:bidi="ar"/>
              </w:rPr>
              <w:fldChar w:fldCharType="end"/>
            </w:r>
          </w:p>
        </w:tc>
      </w:tr>
      <w:tr w14:paraId="4A46C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8095C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麻醉学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C94BE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带头人</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489C3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吕志峰</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1DD2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198D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8CF5">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1.电针预处理对切口痛大鼠中脑导水管周围灰质5-HT7受体表达的影响；中国疼痛医学杂志；2024,30(02):94-99</w:t>
            </w:r>
          </w:p>
        </w:tc>
      </w:tr>
      <w:tr w14:paraId="60B92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EEE2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186D6">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A185D">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95F0B">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DA147B">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363A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2.2022年河南省中医药科学研究专项: 基于m6A RNA甲基化修饰探讨电针预处理改善术后疼痛的作用机制研究</w:t>
            </w:r>
          </w:p>
        </w:tc>
      </w:tr>
      <w:tr w14:paraId="6670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E7F9AA">
            <w:pPr>
              <w:jc w:val="center"/>
              <w:rPr>
                <w:rFonts w:hint="eastAsia" w:ascii="仿宋" w:hAnsi="仿宋" w:eastAsia="仿宋" w:cs="仿宋"/>
                <w:i w:val="0"/>
                <w:iCs w:val="0"/>
                <w:color w:val="000000"/>
                <w:sz w:val="24"/>
                <w:szCs w:val="24"/>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9EE30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中青年学术骨干</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7E356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1CD0B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方洁</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1AC99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D9AC8">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4077514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D64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1.七氟烷与丙泊酚对老年乳腺癌术后患者认知功能及负性情绪的影响分析；国际精神病学杂志；2023,50(03):504-506</w:t>
            </w:r>
          </w:p>
        </w:tc>
      </w:tr>
      <w:tr w14:paraId="42964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31BABF">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CA8BE">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E69CA">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D0192C">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B07AE9">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3E8829">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771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现代临床麻醉技术与疼痛治疗; 第六主编; 中国纺织出版社</w:t>
            </w:r>
          </w:p>
        </w:tc>
      </w:tr>
      <w:tr w14:paraId="4C9F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FD5A2">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85A19">
            <w:pPr>
              <w:jc w:val="center"/>
              <w:rPr>
                <w:rFonts w:hint="eastAsia" w:ascii="仿宋" w:hAnsi="仿宋" w:eastAsia="仿宋" w:cs="仿宋"/>
                <w:i w:val="0"/>
                <w:iCs w:val="0"/>
                <w:color w:val="000000"/>
                <w:sz w:val="24"/>
                <w:szCs w:val="24"/>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05F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5903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单中杰</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E8AFF">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B033E">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578B131F">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612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坦洛新联合铍针疗法治疗慢性前列腺炎所致性功能障碍疗效观察；临床心身疾病杂志；2023,29(06):121-125.</w:t>
            </w:r>
          </w:p>
        </w:tc>
      </w:tr>
      <w:tr w14:paraId="00DBC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6052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肿瘤学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4EB6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带头人</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F73C00">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王涛</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387E06">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1BAA90">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4FBA7E2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14701">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1.河南省卫健委课题：基于VEGF/PI3K/AKT通路探讨对补肾疏肝方抑制肺癌血管生成作用机制研究</w:t>
            </w:r>
          </w:p>
        </w:tc>
      </w:tr>
      <w:tr w14:paraId="18FB6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C4FB7">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2951CF">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4FE0F">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CC3CE5">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11572">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3C65A">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2.四川省科技厅课题：针灸治疗结直肠癌化疗后胃肠功能障碍安全性和有效性的随机对照试验</w:t>
            </w:r>
          </w:p>
        </w:tc>
      </w:tr>
      <w:tr w14:paraId="136B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C1CFB">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190A8D">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B5A45">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F1F7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F8167">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BDCB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3.益气养血方联合西药治疗慢性再生障碍性贫血影响血小板的临床因素分析；中国中医药信息杂志,2023,30(12):159-165.</w:t>
            </w:r>
          </w:p>
        </w:tc>
      </w:tr>
      <w:tr w14:paraId="3B105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B533B2">
            <w:pPr>
              <w:jc w:val="center"/>
              <w:rPr>
                <w:rFonts w:hint="eastAsia" w:ascii="仿宋" w:hAnsi="仿宋" w:eastAsia="仿宋" w:cs="仿宋"/>
                <w:i w:val="0"/>
                <w:iCs w:val="0"/>
                <w:color w:val="000000"/>
                <w:sz w:val="24"/>
                <w:szCs w:val="24"/>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9502F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中青年学术骨干</w:t>
            </w: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16A61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81EC7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任伟宏</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55E21">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54</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69438A">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0AE3C7E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B512D">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国家自然科学基金面上项目：参术白胡颗粒靶向MDSCs干预胃癌转移前微环境形成的表观遗传调控机制研究</w:t>
            </w:r>
          </w:p>
        </w:tc>
      </w:tr>
      <w:tr w14:paraId="7661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497F69">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8299D">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F0F18">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7B361">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D6E014">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03D34A">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DACF">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Role of myeloid-derived suppressor cells in the formation of pre-metastatic niche; Frontiers in Oncology; 2022 Sep 27;12:975261</w:t>
            </w:r>
          </w:p>
        </w:tc>
      </w:tr>
      <w:tr w14:paraId="49433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68BB9">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E8C6F2">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8ACA22">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BBFA0">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3C3C0">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AA6AB">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45A19">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 An improved method for rapid identification of hook effect samples in HBsAg quantitative assay; Drug Delivery and Translational Research; 2022. 12:2385–2402</w:t>
            </w:r>
          </w:p>
        </w:tc>
      </w:tr>
      <w:tr w14:paraId="3D4FA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4217E">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F3487">
            <w:pPr>
              <w:jc w:val="center"/>
              <w:rPr>
                <w:rFonts w:hint="eastAsia" w:ascii="仿宋" w:hAnsi="仿宋" w:eastAsia="仿宋" w:cs="仿宋"/>
                <w:i w:val="0"/>
                <w:iCs w:val="0"/>
                <w:color w:val="000000"/>
                <w:sz w:val="24"/>
                <w:szCs w:val="24"/>
                <w:highlight w:val="none"/>
                <w:u w:val="none"/>
              </w:rPr>
            </w:pPr>
          </w:p>
        </w:tc>
        <w:tc>
          <w:tcPr>
            <w:tcW w:w="5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3CF55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83804B">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关徐涛</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A5E8A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37</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2DD77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A72A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 基于Nrf2-HO-1信号通路的针灸改善顺铂肾损伤小鼠的作用机制研究; 时珍国医国药;2022,33(11):2794-2797.</w:t>
            </w:r>
          </w:p>
        </w:tc>
      </w:tr>
      <w:tr w14:paraId="6002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C9B46">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B64C12">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96325">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FA76D">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31E1D9">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5B486">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BF56">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 基于阴火理论探讨免疫性血小板减少症的诊疗思路; 新中医;2022,54(12):229-232.</w:t>
            </w:r>
          </w:p>
        </w:tc>
      </w:tr>
      <w:tr w14:paraId="4CDA0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7BA43">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53328">
            <w:pPr>
              <w:jc w:val="center"/>
              <w:rPr>
                <w:rFonts w:hint="eastAsia" w:ascii="仿宋" w:hAnsi="仿宋" w:eastAsia="仿宋" w:cs="仿宋"/>
                <w:i w:val="0"/>
                <w:iCs w:val="0"/>
                <w:color w:val="000000"/>
                <w:sz w:val="24"/>
                <w:szCs w:val="24"/>
                <w:highlight w:val="none"/>
                <w:u w:val="none"/>
              </w:rPr>
            </w:pPr>
          </w:p>
        </w:tc>
        <w:tc>
          <w:tcPr>
            <w:tcW w:w="5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7BD316">
            <w:pPr>
              <w:jc w:val="center"/>
              <w:rPr>
                <w:rFonts w:hint="eastAsia" w:ascii="仿宋" w:hAnsi="仿宋" w:eastAsia="仿宋" w:cs="仿宋"/>
                <w:i w:val="0"/>
                <w:iCs w:val="0"/>
                <w:color w:val="000000"/>
                <w:sz w:val="24"/>
                <w:szCs w:val="24"/>
                <w:highlight w:val="none"/>
                <w:u w:val="none"/>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2BD58">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CDCB0">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CFDEAB">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09A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 阿尔茨海默病中医核心病机演变规律; 中医学报;2022,37(06):1153-1157.</w:t>
            </w:r>
          </w:p>
        </w:tc>
      </w:tr>
      <w:tr w14:paraId="6E49C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0A7D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耳鼻咽喉科学</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F3E6FE">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带头人</w:t>
            </w:r>
          </w:p>
        </w:tc>
        <w:tc>
          <w:tcPr>
            <w:tcW w:w="163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D2E887">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郭向东</w:t>
            </w:r>
          </w:p>
        </w:tc>
        <w:tc>
          <w:tcPr>
            <w:tcW w:w="9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461809">
            <w:pPr>
              <w:keepNext w:val="0"/>
              <w:keepLines w:val="0"/>
              <w:widowControl/>
              <w:suppressLineNumbers w:val="0"/>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43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9DF41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F0A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1. </w:t>
            </w:r>
            <w:r>
              <w:rPr>
                <w:rFonts w:ascii="Arial" w:hAnsi="Arial" w:eastAsia="仿宋" w:cs="Arial"/>
                <w:i w:val="0"/>
                <w:iCs w:val="0"/>
                <w:color w:val="000000"/>
                <w:kern w:val="0"/>
                <w:sz w:val="24"/>
                <w:szCs w:val="24"/>
                <w:highlight w:val="none"/>
                <w:u w:val="none"/>
                <w:lang w:val="en-US" w:eastAsia="zh-CN" w:bidi="ar"/>
              </w:rPr>
              <w:t xml:space="preserve"> </w:t>
            </w:r>
            <w:r>
              <w:rPr>
                <w:rFonts w:hint="eastAsia" w:ascii="仿宋" w:hAnsi="仿宋" w:eastAsia="仿宋" w:cs="仿宋"/>
                <w:i w:val="0"/>
                <w:iCs w:val="0"/>
                <w:color w:val="000000"/>
                <w:kern w:val="0"/>
                <w:sz w:val="24"/>
                <w:szCs w:val="24"/>
                <w:highlight w:val="none"/>
                <w:u w:val="none"/>
                <w:lang w:val="en-US" w:eastAsia="zh-CN" w:bidi="ar"/>
              </w:rPr>
              <w:t>清肺利咽方联合常规西药治疗儿童化脓性扁桃体炎临床研究; 新中医;2022,54(23):126-129.</w:t>
            </w:r>
          </w:p>
        </w:tc>
      </w:tr>
      <w:tr w14:paraId="6AF7B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9CC1FE">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8DEC3">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A96D64">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459028">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54FBB">
            <w:pPr>
              <w:jc w:val="center"/>
              <w:rPr>
                <w:rFonts w:hint="eastAsia" w:ascii="仿宋" w:hAnsi="仿宋" w:eastAsia="仿宋" w:cs="仿宋"/>
                <w:i w:val="0"/>
                <w:iCs w:val="0"/>
                <w:color w:val="000000"/>
                <w:sz w:val="24"/>
                <w:szCs w:val="24"/>
                <w:highlight w:val="none"/>
                <w:u w:val="none"/>
              </w:rPr>
            </w:pPr>
          </w:p>
        </w:tc>
        <w:tc>
          <w:tcPr>
            <w:tcW w:w="3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F004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 xml:space="preserve">2. </w:t>
            </w:r>
            <w:r>
              <w:rPr>
                <w:rFonts w:ascii="Arial" w:hAnsi="Arial" w:eastAsia="仿宋" w:cs="Arial"/>
                <w:i w:val="0"/>
                <w:iCs w:val="0"/>
                <w:color w:val="000000"/>
                <w:kern w:val="0"/>
                <w:sz w:val="24"/>
                <w:szCs w:val="24"/>
                <w:highlight w:val="none"/>
                <w:u w:val="none"/>
                <w:lang w:val="en-US" w:eastAsia="zh-CN" w:bidi="ar"/>
              </w:rPr>
              <w:t xml:space="preserve"> </w:t>
            </w:r>
            <w:r>
              <w:rPr>
                <w:rFonts w:hint="eastAsia" w:ascii="仿宋" w:hAnsi="仿宋" w:eastAsia="仿宋" w:cs="仿宋"/>
                <w:i w:val="0"/>
                <w:iCs w:val="0"/>
                <w:color w:val="000000"/>
                <w:kern w:val="0"/>
                <w:sz w:val="24"/>
                <w:szCs w:val="24"/>
                <w:highlight w:val="none"/>
                <w:u w:val="none"/>
                <w:lang w:val="en-US" w:eastAsia="zh-CN" w:bidi="ar"/>
              </w:rPr>
              <w:t>呼吸暂停低通气指数对急性缺血性脑卒中短期预后的预测价值;中华老年心脑血管病杂志;2022,24(10):1019-1021.</w:t>
            </w:r>
          </w:p>
        </w:tc>
      </w:tr>
      <w:tr w14:paraId="1148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A4F7C">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0F9908">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4ED98">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B242F">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B31E1">
            <w:pPr>
              <w:jc w:val="center"/>
              <w:rPr>
                <w:rFonts w:hint="eastAsia" w:ascii="仿宋" w:hAnsi="仿宋" w:eastAsia="仿宋" w:cs="仿宋"/>
                <w:i w:val="0"/>
                <w:iCs w:val="0"/>
                <w:color w:val="000000"/>
                <w:sz w:val="24"/>
                <w:szCs w:val="24"/>
                <w:highlight w:val="none"/>
                <w:u w:val="none"/>
              </w:rPr>
            </w:pPr>
          </w:p>
        </w:tc>
        <w:tc>
          <w:tcPr>
            <w:tcW w:w="3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67E9C2">
            <w:pPr>
              <w:jc w:val="left"/>
              <w:rPr>
                <w:rFonts w:hint="eastAsia" w:ascii="仿宋" w:hAnsi="仿宋" w:eastAsia="仿宋" w:cs="仿宋"/>
                <w:i w:val="0"/>
                <w:iCs w:val="0"/>
                <w:color w:val="000000"/>
                <w:sz w:val="24"/>
                <w:szCs w:val="24"/>
                <w:highlight w:val="none"/>
                <w:u w:val="none"/>
              </w:rPr>
            </w:pPr>
          </w:p>
        </w:tc>
      </w:tr>
      <w:tr w14:paraId="7919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5AE5C0">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FBE37">
            <w:pPr>
              <w:jc w:val="center"/>
              <w:rPr>
                <w:rFonts w:hint="eastAsia" w:ascii="仿宋" w:hAnsi="仿宋" w:eastAsia="仿宋" w:cs="仿宋"/>
                <w:i w:val="0"/>
                <w:iCs w:val="0"/>
                <w:color w:val="000000"/>
                <w:sz w:val="24"/>
                <w:szCs w:val="24"/>
                <w:highlight w:val="none"/>
                <w:u w:val="none"/>
              </w:rPr>
            </w:pPr>
          </w:p>
        </w:tc>
        <w:tc>
          <w:tcPr>
            <w:tcW w:w="163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2CE7E8">
            <w:pPr>
              <w:jc w:val="center"/>
              <w:rPr>
                <w:rFonts w:hint="eastAsia" w:ascii="仿宋" w:hAnsi="仿宋" w:eastAsia="仿宋" w:cs="仿宋"/>
                <w:i w:val="0"/>
                <w:iCs w:val="0"/>
                <w:color w:val="000000"/>
                <w:sz w:val="24"/>
                <w:szCs w:val="24"/>
                <w:highlight w:val="none"/>
                <w:u w:val="none"/>
              </w:rPr>
            </w:pPr>
          </w:p>
        </w:tc>
        <w:tc>
          <w:tcPr>
            <w:tcW w:w="9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85C12">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D16AB">
            <w:pPr>
              <w:jc w:val="center"/>
              <w:rPr>
                <w:rFonts w:hint="eastAsia" w:ascii="仿宋" w:hAnsi="仿宋" w:eastAsia="仿宋" w:cs="仿宋"/>
                <w:i w:val="0"/>
                <w:iCs w:val="0"/>
                <w:color w:val="000000"/>
                <w:sz w:val="24"/>
                <w:szCs w:val="24"/>
                <w:highlight w:val="none"/>
                <w:u w:val="none"/>
              </w:rPr>
            </w:pP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1B82">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 基于网络药理学的银杏叶提取物防治老年性聋的作用机制研究; 世界科学技术-中医药现代化;2022,24(05):1981-1992.</w:t>
            </w:r>
          </w:p>
        </w:tc>
      </w:tr>
      <w:tr w14:paraId="215C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358363">
            <w:pPr>
              <w:jc w:val="center"/>
              <w:rPr>
                <w:rFonts w:hint="eastAsia" w:ascii="仿宋" w:hAnsi="仿宋" w:eastAsia="仿宋" w:cs="仿宋"/>
                <w:i w:val="0"/>
                <w:iCs w:val="0"/>
                <w:color w:val="000000"/>
                <w:sz w:val="24"/>
                <w:szCs w:val="24"/>
                <w:highlight w:val="none"/>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A8B2">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中青年学术骨干</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0F1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0BA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丁玲</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1C4C">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BF8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A4FE">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规范混合式教学中线下教学法在中西医结合耳鼻咽喉科学的应用; 中国中医药现代远程教育;2023,21(15):12-15.</w:t>
            </w:r>
          </w:p>
        </w:tc>
      </w:tr>
      <w:tr w14:paraId="36E0D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C48018">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眼科学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051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带头人</w:t>
            </w:r>
          </w:p>
        </w:tc>
        <w:tc>
          <w:tcPr>
            <w:tcW w:w="1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1CF5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王予伟</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A3CE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4B35">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主任</w:t>
            </w:r>
          </w:p>
          <w:p w14:paraId="6AC34D33">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4038">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Development of a naringenin microemulsion as a prospective ophthalmic delivery system for the treatment of corneal neovascularization: in vitro and in vivo evaluation; Drug Delivery; 2022,29,1,111-127</w:t>
            </w:r>
          </w:p>
        </w:tc>
      </w:tr>
      <w:tr w14:paraId="7C5ED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0B744A">
            <w:pPr>
              <w:jc w:val="center"/>
              <w:rPr>
                <w:rFonts w:hint="eastAsia" w:ascii="仿宋" w:hAnsi="仿宋" w:eastAsia="仿宋" w:cs="仿宋"/>
                <w:i w:val="0"/>
                <w:iCs w:val="0"/>
                <w:color w:val="000000"/>
                <w:sz w:val="24"/>
                <w:szCs w:val="24"/>
                <w:highlight w:val="none"/>
                <w:u w:val="none"/>
              </w:rPr>
            </w:pP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1F687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中青年学术骨干</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7BD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1</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B1795">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闫媛媛</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7C84">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4DCA">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　</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FE10">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牛蒡子苷调控血管内皮生长因子抑制糖尿病视网膜病变的机制研究; 中国医药生物技术；2020,15(01):40-47.</w:t>
            </w:r>
          </w:p>
        </w:tc>
      </w:tr>
      <w:tr w14:paraId="6E9DB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81100A">
            <w:pPr>
              <w:jc w:val="center"/>
              <w:rPr>
                <w:rFonts w:hint="eastAsia" w:ascii="仿宋" w:hAnsi="仿宋" w:eastAsia="仿宋" w:cs="仿宋"/>
                <w:i w:val="0"/>
                <w:iCs w:val="0"/>
                <w:color w:val="000000"/>
                <w:sz w:val="24"/>
                <w:szCs w:val="24"/>
                <w:highlight w:val="none"/>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6F9DE">
            <w:pPr>
              <w:jc w:val="center"/>
              <w:rPr>
                <w:rFonts w:hint="eastAsia" w:ascii="仿宋" w:hAnsi="仿宋" w:eastAsia="仿宋" w:cs="仿宋"/>
                <w:i w:val="0"/>
                <w:iCs w:val="0"/>
                <w:color w:val="000000"/>
                <w:sz w:val="24"/>
                <w:szCs w:val="24"/>
                <w:highlight w:val="none"/>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55B1">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2</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5C9D">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张兆宏</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8CDA6">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1989">
            <w:pPr>
              <w:keepNext w:val="0"/>
              <w:keepLines w:val="0"/>
              <w:widowControl/>
              <w:suppressLineNumbers w:val="0"/>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副主任医师</w:t>
            </w:r>
          </w:p>
        </w:tc>
        <w:tc>
          <w:tcPr>
            <w:tcW w:w="3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116C">
            <w:pPr>
              <w:keepNext w:val="0"/>
              <w:keepLines w:val="0"/>
              <w:widowControl/>
              <w:suppressLineNumbers w:val="0"/>
              <w:jc w:val="left"/>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加速康复外科理念在经胸前入路腔镜甲状腺外科领域中的临床应用；中国内镜杂志；2021,27(10):7-11.</w:t>
            </w:r>
          </w:p>
        </w:tc>
      </w:tr>
    </w:tbl>
    <w:p w14:paraId="1A25BB32"/>
    <w:bookmarkEnd w:id="17"/>
    <w:bookmarkEnd w:id="18"/>
    <w:bookmarkEnd w:id="19"/>
    <w:bookmarkEnd w:id="20"/>
    <w:bookmarkEnd w:id="21"/>
    <w:bookmarkEnd w:id="22"/>
    <w:bookmarkEnd w:id="23"/>
    <w:bookmarkEnd w:id="24"/>
    <w:bookmarkEnd w:id="25"/>
    <w:bookmarkEnd w:id="26"/>
    <w:bookmarkEnd w:id="27"/>
    <w:bookmarkEnd w:id="28"/>
    <w:p w14:paraId="54CDFA9F">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bookmarkStart w:id="29" w:name="_Toc28200037"/>
      <w:bookmarkStart w:id="30" w:name="_Toc25679664"/>
      <w:bookmarkStart w:id="31" w:name="_Toc25520477"/>
      <w:bookmarkStart w:id="32" w:name="_Toc25661802"/>
      <w:bookmarkStart w:id="33" w:name="_Toc25520929"/>
      <w:bookmarkStart w:id="34" w:name="_Toc13432"/>
      <w:bookmarkStart w:id="35" w:name="_Toc19598"/>
      <w:bookmarkStart w:id="36" w:name="_Toc25521440"/>
      <w:bookmarkStart w:id="37" w:name="_Toc25679993"/>
      <w:bookmarkStart w:id="38" w:name="_Toc25521180"/>
      <w:bookmarkStart w:id="39" w:name="_Toc22194"/>
      <w:bookmarkStart w:id="40" w:name="_Toc5288"/>
      <w:r>
        <w:rPr>
          <w:rFonts w:ascii="Times New Roman" w:hAnsi="Times New Roman" w:eastAsia="楷体_GB2312"/>
          <w:b/>
          <w:bCs/>
          <w:sz w:val="28"/>
          <w:szCs w:val="28"/>
        </w:rPr>
        <w:t>（</w:t>
      </w:r>
      <w:r>
        <w:rPr>
          <w:rFonts w:hint="eastAsia" w:ascii="Times New Roman" w:hAnsi="Times New Roman" w:eastAsia="楷体_GB2312"/>
          <w:b/>
          <w:bCs/>
          <w:sz w:val="28"/>
          <w:szCs w:val="28"/>
          <w:lang w:val="en-US" w:eastAsia="zh-CN"/>
        </w:rPr>
        <w:t>五</w:t>
      </w:r>
      <w:r>
        <w:rPr>
          <w:rFonts w:ascii="Times New Roman" w:hAnsi="Times New Roman" w:eastAsia="楷体_GB2312"/>
          <w:b/>
          <w:bCs/>
          <w:sz w:val="28"/>
          <w:szCs w:val="28"/>
        </w:rPr>
        <w:t>）培养条件</w:t>
      </w:r>
    </w:p>
    <w:bookmarkEnd w:id="29"/>
    <w:bookmarkEnd w:id="30"/>
    <w:bookmarkEnd w:id="31"/>
    <w:bookmarkEnd w:id="32"/>
    <w:bookmarkEnd w:id="33"/>
    <w:bookmarkEnd w:id="34"/>
    <w:bookmarkEnd w:id="35"/>
    <w:bookmarkEnd w:id="36"/>
    <w:bookmarkEnd w:id="37"/>
    <w:bookmarkEnd w:id="38"/>
    <w:bookmarkEnd w:id="39"/>
    <w:bookmarkEnd w:id="40"/>
    <w:p w14:paraId="39744064">
      <w:pPr>
        <w:widowControl/>
        <w:spacing w:line="520" w:lineRule="exact"/>
        <w:ind w:firstLine="562" w:firstLineChars="200"/>
        <w:jc w:val="left"/>
        <w:rPr>
          <w:rFonts w:ascii="Times New Roman" w:hAnsi="Times New Roman" w:eastAsia="仿宋_GB2312"/>
          <w:b/>
          <w:bCs/>
          <w:kern w:val="0"/>
          <w:sz w:val="28"/>
          <w:szCs w:val="28"/>
          <w:lang w:bidi="ar"/>
        </w:rPr>
      </w:pPr>
      <w:r>
        <w:rPr>
          <w:rFonts w:hint="eastAsia" w:ascii="Times New Roman" w:hAnsi="Times New Roman" w:eastAsia="仿宋_GB2312"/>
          <w:b/>
          <w:bCs/>
          <w:kern w:val="0"/>
          <w:sz w:val="28"/>
          <w:szCs w:val="28"/>
          <w:lang w:bidi="ar"/>
        </w:rPr>
        <w:t>1</w:t>
      </w:r>
      <w:r>
        <w:rPr>
          <w:rFonts w:ascii="Times New Roman" w:hAnsi="Times New Roman" w:eastAsia="仿宋_GB2312"/>
          <w:b/>
          <w:bCs/>
          <w:kern w:val="0"/>
          <w:sz w:val="28"/>
          <w:szCs w:val="28"/>
          <w:lang w:bidi="ar"/>
        </w:rPr>
        <w:t>.加强教学平台建设</w:t>
      </w:r>
    </w:p>
    <w:p w14:paraId="7FA4B22D">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在课堂教学方面，我校建有虚拟仿真实验教学空间，2021年被认定为“河南省本科高等学校智慧教学建设示范校”，营造一个现代化、高效且全面的学习环境。在实验教学方面，实验室总面积达到15601m2，仪器设备总值4.2亿元，保障了完备的科研环境。在临床教学方面，拥有4所直属的三甲医院，设置床位12457张，可充分满足实践教学需求。在学术资源方面，纸质藏书213万册，电子图书162.6万册，中外文数据库97种，共3868种中外文期刊。</w:t>
      </w:r>
    </w:p>
    <w:p w14:paraId="75306E58">
      <w:pPr>
        <w:widowControl/>
        <w:spacing w:line="520" w:lineRule="exact"/>
        <w:ind w:firstLine="562" w:firstLineChars="200"/>
        <w:jc w:val="left"/>
        <w:rPr>
          <w:rFonts w:ascii="Times New Roman" w:hAnsi="Times New Roman" w:eastAsia="仿宋_GB2312"/>
          <w:b/>
          <w:bCs/>
          <w:kern w:val="0"/>
          <w:sz w:val="28"/>
          <w:szCs w:val="28"/>
          <w:lang w:bidi="ar"/>
        </w:rPr>
      </w:pPr>
      <w:r>
        <w:rPr>
          <w:rFonts w:hint="eastAsia" w:ascii="Times New Roman" w:hAnsi="Times New Roman" w:eastAsia="仿宋_GB2312"/>
          <w:b/>
          <w:bCs/>
          <w:kern w:val="0"/>
          <w:sz w:val="28"/>
          <w:szCs w:val="28"/>
          <w:lang w:bidi="ar"/>
        </w:rPr>
        <w:t>2</w:t>
      </w:r>
      <w:r>
        <w:rPr>
          <w:rFonts w:ascii="Times New Roman" w:hAnsi="Times New Roman" w:eastAsia="仿宋_GB2312"/>
          <w:b/>
          <w:bCs/>
          <w:kern w:val="0"/>
          <w:sz w:val="28"/>
          <w:szCs w:val="28"/>
          <w:lang w:bidi="ar"/>
        </w:rPr>
        <w:t>.加强科研平台建设</w:t>
      </w:r>
    </w:p>
    <w:p w14:paraId="4022E037">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现拥有国家医学中心（中医类）、国家中医临床教学培训示范中心、国家中医药国际合作交流基地、国家中医药传承创新中心、国家中医临床研究基地等多个国家级平台。河南省重点实验室5个、河南省国际联合实验室3个、河南省工程研究中心12个、河南省工程技术研究中心4个。</w:t>
      </w:r>
    </w:p>
    <w:p w14:paraId="1EF7FA5B">
      <w:pPr>
        <w:widowControl/>
        <w:spacing w:line="520" w:lineRule="exact"/>
        <w:ind w:firstLine="562" w:firstLineChars="200"/>
        <w:jc w:val="left"/>
        <w:rPr>
          <w:rFonts w:ascii="Times New Roman" w:hAnsi="Times New Roman" w:eastAsia="仿宋_GB2312"/>
          <w:b/>
          <w:bCs/>
          <w:kern w:val="0"/>
          <w:sz w:val="28"/>
          <w:szCs w:val="28"/>
          <w:lang w:bidi="ar"/>
        </w:rPr>
      </w:pPr>
      <w:r>
        <w:rPr>
          <w:rFonts w:hint="eastAsia" w:ascii="Times New Roman" w:hAnsi="Times New Roman" w:eastAsia="仿宋_GB2312"/>
          <w:b/>
          <w:bCs/>
          <w:kern w:val="0"/>
          <w:sz w:val="28"/>
          <w:szCs w:val="28"/>
          <w:lang w:bidi="ar"/>
        </w:rPr>
        <w:t>3</w:t>
      </w:r>
      <w:r>
        <w:rPr>
          <w:rFonts w:ascii="Times New Roman" w:hAnsi="Times New Roman" w:eastAsia="仿宋_GB2312"/>
          <w:b/>
          <w:bCs/>
          <w:kern w:val="0"/>
          <w:sz w:val="28"/>
          <w:szCs w:val="28"/>
          <w:lang w:bidi="ar"/>
        </w:rPr>
        <w:t>.强化提升位点建设质量</w:t>
      </w:r>
    </w:p>
    <w:p w14:paraId="147AEF86">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由于社会需要大量的高素质的研究生 ,需要千方百计地加大学位点的建设力度 ,积极创造条件,促进研究生教育数量大发展、质量大提高。根据《河南省教育厅 河南省发展和改革委员会 河南省财政厅关于公布河南省博士硕士学位授予单位和学位授权点立项建设名单的通知》，临床医学专硕被列为重点立项学位点，临床医学学博被列为重点培育学位点，因此，临床医学作为科研型硕士授权点，按照上级部门的要求尽全力积极申报，以提高临床医学学位点建设的整体水平，为广大师生提供更加广阔的平台，也为学校学位点建设整体实力的提升贡献力量。</w:t>
      </w:r>
    </w:p>
    <w:p w14:paraId="18763B17">
      <w:pPr>
        <w:widowControl/>
        <w:spacing w:line="520" w:lineRule="exact"/>
        <w:ind w:firstLine="562" w:firstLineChars="200"/>
        <w:jc w:val="left"/>
        <w:rPr>
          <w:rFonts w:ascii="Times New Roman" w:hAnsi="Times New Roman" w:eastAsia="仿宋_GB2312"/>
          <w:b/>
          <w:bCs/>
          <w:kern w:val="0"/>
          <w:sz w:val="28"/>
          <w:szCs w:val="28"/>
          <w:lang w:bidi="ar"/>
        </w:rPr>
      </w:pPr>
      <w:r>
        <w:rPr>
          <w:rFonts w:hint="eastAsia" w:ascii="Times New Roman" w:hAnsi="Times New Roman" w:eastAsia="仿宋_GB2312"/>
          <w:b/>
          <w:bCs/>
          <w:kern w:val="0"/>
          <w:sz w:val="28"/>
          <w:szCs w:val="28"/>
          <w:lang w:bidi="ar"/>
        </w:rPr>
        <w:t>4</w:t>
      </w:r>
      <w:r>
        <w:rPr>
          <w:rFonts w:ascii="Times New Roman" w:hAnsi="Times New Roman" w:eastAsia="仿宋_GB2312"/>
          <w:b/>
          <w:bCs/>
          <w:kern w:val="0"/>
          <w:sz w:val="28"/>
          <w:szCs w:val="28"/>
          <w:lang w:bidi="ar"/>
        </w:rPr>
        <w:t>.奖助情况</w:t>
      </w:r>
    </w:p>
    <w:p w14:paraId="5EFC497F">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学校有较为完善的奖励、资助体系，学校制定了《河南中医药大学研究生国家奖学金、学业奖学金和国家助学金管理办法</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河南中医药大学研究生校内奖助学金评定管理办法</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河南中医药大学“杏林雏鹰”帮扶计划方案</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河南中医药大学国家开发银行国家助贷款管理细则》等一系列相对比较完整的奖学金发放和管理办法，同时学位点严格按照相关文件要求进行评审，保证公平公正，同时激励学生奋发向上，敢于争先。对于家庭经济困难的学生，根据学生实际情况，分别采取不同办法予以资助。学校严格执行国家相关财经法规和制度的规定，对国家奖学金、学业奖学金和国家助学金实行分账核算，专款专用。保证及时、足额地发放给学生，任何单位和部门都不得截留、挤占、均分或挪用，同时应接受财政、审计、纪检监察、主管机关等部门的检查和监督。202</w:t>
      </w: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年本学位点的助学金覆盖率达到100%，</w:t>
      </w:r>
      <w:r>
        <w:rPr>
          <w:rFonts w:hint="eastAsia" w:ascii="Times New Roman" w:hAnsi="Times New Roman" w:eastAsia="仿宋_GB2312"/>
          <w:sz w:val="28"/>
          <w:szCs w:val="28"/>
          <w:lang w:val="en-US" w:eastAsia="zh-CN"/>
        </w:rPr>
        <w:t>共计33.6万元，</w:t>
      </w:r>
      <w:r>
        <w:rPr>
          <w:rFonts w:hint="eastAsia" w:ascii="Times New Roman" w:hAnsi="Times New Roman" w:eastAsia="仿宋_GB2312"/>
          <w:sz w:val="28"/>
          <w:szCs w:val="28"/>
        </w:rPr>
        <w:t>各类奖学金覆盖率达到70%</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lang w:val="en-US" w:eastAsia="zh-CN"/>
        </w:rPr>
        <w:t>共计16万元</w:t>
      </w:r>
      <w:r>
        <w:rPr>
          <w:rFonts w:hint="eastAsia" w:ascii="Times New Roman" w:hAnsi="Times New Roman" w:eastAsia="仿宋_GB2312"/>
          <w:sz w:val="28"/>
          <w:szCs w:val="28"/>
        </w:rPr>
        <w:t>。</w:t>
      </w:r>
    </w:p>
    <w:p w14:paraId="3DF62072">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ascii="Times New Roman" w:hAnsi="Times New Roman" w:eastAsia="楷体_GB2312"/>
          <w:b/>
          <w:bCs/>
          <w:sz w:val="28"/>
          <w:szCs w:val="28"/>
        </w:rPr>
        <w:t>（</w:t>
      </w:r>
      <w:r>
        <w:rPr>
          <w:rFonts w:hint="eastAsia" w:ascii="Times New Roman" w:hAnsi="Times New Roman" w:eastAsia="楷体_GB2312"/>
          <w:b/>
          <w:bCs/>
          <w:sz w:val="28"/>
          <w:szCs w:val="28"/>
          <w:lang w:val="en-US" w:eastAsia="zh-CN"/>
        </w:rPr>
        <w:t>六</w:t>
      </w:r>
      <w:r>
        <w:rPr>
          <w:rFonts w:ascii="Times New Roman" w:hAnsi="Times New Roman" w:eastAsia="楷体_GB2312"/>
          <w:b/>
          <w:bCs/>
          <w:sz w:val="28"/>
          <w:szCs w:val="28"/>
        </w:rPr>
        <w:t>）专业学位培养基地</w:t>
      </w:r>
    </w:p>
    <w:p w14:paraId="26478357">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河南中医药大学第一、二、三附属医院、河南中医药大学附属郑州人民医院为临床医学研究生提供实习、培训基地，校外兼职导师单位如河南省人民医院、</w:t>
      </w:r>
      <w:r>
        <w:rPr>
          <w:rFonts w:hint="eastAsia" w:ascii="Times New Roman" w:hAnsi="Times New Roman" w:eastAsia="仿宋_GB2312"/>
          <w:sz w:val="28"/>
          <w:szCs w:val="28"/>
        </w:rPr>
        <w:fldChar w:fldCharType="begin"/>
      </w:r>
      <w:r>
        <w:rPr>
          <w:rFonts w:hint="eastAsia" w:ascii="Times New Roman" w:hAnsi="Times New Roman" w:eastAsia="仿宋_GB2312"/>
          <w:sz w:val="28"/>
          <w:szCs w:val="28"/>
        </w:rPr>
        <w:instrText xml:space="preserve"> HYPERLINK "https://baike.baidu.com/item/%E6%AD%A6%E8%AD%A6%E6%B2%B3%E5%8D%97%E6%80%BB%E9%98%9F%E5%8C%BB%E9%99%A2/6901682" \t "https://baike.baidu.com/search/_blank" </w:instrText>
      </w:r>
      <w:r>
        <w:rPr>
          <w:rFonts w:hint="eastAsia" w:ascii="Times New Roman" w:hAnsi="Times New Roman" w:eastAsia="仿宋_GB2312"/>
          <w:sz w:val="28"/>
          <w:szCs w:val="28"/>
        </w:rPr>
        <w:fldChar w:fldCharType="separate"/>
      </w:r>
      <w:r>
        <w:rPr>
          <w:rFonts w:hint="eastAsia" w:ascii="Times New Roman" w:hAnsi="Times New Roman" w:eastAsia="仿宋_GB2312"/>
          <w:sz w:val="28"/>
          <w:szCs w:val="28"/>
        </w:rPr>
        <w:t>武警河南总队医院</w:t>
      </w:r>
      <w:r>
        <w:rPr>
          <w:rFonts w:hint="eastAsia" w:ascii="Times New Roman" w:hAnsi="Times New Roman" w:eastAsia="仿宋_GB2312"/>
          <w:sz w:val="28"/>
          <w:szCs w:val="28"/>
        </w:rPr>
        <w:fldChar w:fldCharType="end"/>
      </w:r>
      <w:r>
        <w:rPr>
          <w:rFonts w:hint="eastAsia" w:ascii="Times New Roman" w:hAnsi="Times New Roman" w:eastAsia="仿宋_GB2312"/>
          <w:sz w:val="28"/>
          <w:szCs w:val="28"/>
        </w:rPr>
        <w:t>、杭州市第一人民医院、郑州市骨科医院等也可作为临床医学研究生临床学习、培训单位。</w:t>
      </w:r>
    </w:p>
    <w:p w14:paraId="208676DA">
      <w:pPr>
        <w:spacing w:before="156" w:beforeLines="50" w:after="156" w:afterLines="50" w:line="520" w:lineRule="exact"/>
        <w:jc w:val="left"/>
        <w:outlineLvl w:val="0"/>
        <w:rPr>
          <w:rFonts w:ascii="Times New Roman" w:hAnsi="Times New Roman" w:eastAsia="黑体"/>
          <w:bCs/>
          <w:sz w:val="28"/>
          <w:szCs w:val="28"/>
        </w:rPr>
      </w:pPr>
      <w:r>
        <w:rPr>
          <w:rFonts w:ascii="Times New Roman" w:hAnsi="Times New Roman" w:eastAsia="黑体"/>
          <w:bCs/>
          <w:sz w:val="28"/>
          <w:szCs w:val="28"/>
        </w:rPr>
        <w:t>二、年度建设取得的成绩</w:t>
      </w:r>
    </w:p>
    <w:p w14:paraId="618A3F4B">
      <w:pPr>
        <w:widowControl/>
        <w:spacing w:before="156" w:beforeLines="50" w:after="156" w:afterLines="50" w:line="520" w:lineRule="exact"/>
        <w:ind w:firstLine="562" w:firstLineChars="200"/>
        <w:jc w:val="left"/>
        <w:outlineLvl w:val="1"/>
        <w:rPr>
          <w:rFonts w:ascii="Times New Roman" w:hAnsi="Times New Roman" w:eastAsia="楷体_GB2312"/>
          <w:b/>
          <w:bCs/>
          <w:sz w:val="28"/>
          <w:szCs w:val="28"/>
        </w:rPr>
      </w:pPr>
      <w:r>
        <w:rPr>
          <w:rFonts w:hint="eastAsia" w:ascii="Times New Roman" w:hAnsi="Times New Roman" w:eastAsia="楷体_GB2312"/>
          <w:b/>
          <w:bCs/>
          <w:sz w:val="28"/>
          <w:szCs w:val="28"/>
        </w:rPr>
        <w:t>（一）制度建设情况</w:t>
      </w:r>
    </w:p>
    <w:p w14:paraId="0FAAFFA2">
      <w:pPr>
        <w:widowControl/>
        <w:ind w:firstLine="562" w:firstLineChars="200"/>
        <w:jc w:val="left"/>
        <w:outlineLvl w:val="2"/>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1.建立组织机构，压实各级管理责任。</w:t>
      </w:r>
    </w:p>
    <w:p w14:paraId="2E1DA618">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按照河南中医药大学王耀献校长关于学科建设的工作指示，在学校和医院各级党组织的统一领导和指挥下，结合本学位点实际情况，组织专家和团队，认真学科和学位点管理过程中的问题，科学规划，高位统筹，顶层规划，进一步加强完善临床学位点各项管理制度和规定。</w:t>
      </w:r>
    </w:p>
    <w:p w14:paraId="4279C20E">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 xml:space="preserve">我校医学院、第一、二、三、五临床医学院，成立了包含教学管理、学位点建设、学科建设管理的实体管理机构。负责临床医学本科、研究生等学生管理、教学管理、课程设计、专业方向凝炼、师资队伍建设、教学组织建设、教学质量考核、人才培养等相关工作。 </w:t>
      </w:r>
    </w:p>
    <w:p w14:paraId="54167D09">
      <w:pPr>
        <w:widowControl/>
        <w:ind w:firstLine="562" w:firstLineChars="200"/>
        <w:jc w:val="left"/>
        <w:outlineLvl w:val="2"/>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2.健全管理制度，完善评价体系建设。</w:t>
      </w:r>
    </w:p>
    <w:p w14:paraId="7DC795F6">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学校十分重视研究生教育制度建设，历年来不断</w:t>
      </w:r>
      <w:r>
        <w:rPr>
          <w:rFonts w:hint="eastAsia" w:ascii="Times New Roman" w:hAnsi="Times New Roman" w:eastAsia="仿宋_GB2312"/>
          <w:sz w:val="28"/>
          <w:szCs w:val="28"/>
          <w:lang w:eastAsia="zh-CN"/>
        </w:rPr>
        <w:t>地</w:t>
      </w:r>
      <w:r>
        <w:rPr>
          <w:rFonts w:hint="eastAsia" w:ascii="Times New Roman" w:hAnsi="Times New Roman" w:eastAsia="仿宋_GB2312"/>
          <w:sz w:val="28"/>
          <w:szCs w:val="28"/>
        </w:rPr>
        <w:t>探索和实践，进一步健全完善学校的管理制度，制定并印发了《河南中医药大学研究生指导教师遴选条例</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河南中医药大学关于全面落实研究生导师立德树人职责实施细则》</w:t>
      </w:r>
      <w:r>
        <w:rPr>
          <w:rFonts w:hint="eastAsia" w:ascii="Times New Roman" w:hAnsi="Times New Roman" w:eastAsia="仿宋_GB2312"/>
          <w:sz w:val="28"/>
          <w:szCs w:val="28"/>
          <w:lang w:eastAsia="zh-CN"/>
        </w:rPr>
        <w:t>等</w:t>
      </w:r>
      <w:r>
        <w:rPr>
          <w:rFonts w:hint="eastAsia" w:ascii="Times New Roman" w:hAnsi="Times New Roman" w:eastAsia="仿宋_GB2312"/>
          <w:sz w:val="28"/>
          <w:szCs w:val="28"/>
        </w:rPr>
        <w:t>导师管理制度10余项，对于导师进行全方位的管理和培养，确保研究生的产出和质量；同时编制印发了涉及从研究生入学、日常生活、学习毕业等相关方面的制度近60多项，全方位保障了学生的正常生活和学习。特别是研究生和导师手册，基本每两年更新一次，进一步明确研究生的管理办法和培养方式，为研究生培养打下了坚实的制度基础。</w:t>
      </w:r>
    </w:p>
    <w:p w14:paraId="6CD0FA72">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（二）师资队伍建设情况</w:t>
      </w:r>
    </w:p>
    <w:p w14:paraId="29AB7799">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 xml:space="preserve">2022年本学位点现有专任教师140人，硕导57人，导师占比率为 40.71%。其中，26 岁至 35 岁人员22人，36 岁至 45 岁人员55人，46 岁至 59 岁人员59人，60 岁及以上人员4人。平均年龄 45岁。导师具有博士学位人员 36人。高级职称 </w:t>
      </w:r>
      <w:r>
        <w:rPr>
          <w:rFonts w:hint="eastAsia" w:ascii="Times New Roman" w:hAnsi="Times New Roman" w:eastAsia="仿宋_GB2312"/>
          <w:sz w:val="28"/>
          <w:szCs w:val="28"/>
          <w:lang w:val="en-US" w:eastAsia="zh-CN"/>
        </w:rPr>
        <w:t>104</w:t>
      </w:r>
      <w:r>
        <w:rPr>
          <w:rFonts w:hint="eastAsia" w:ascii="Times New Roman" w:hAnsi="Times New Roman" w:eastAsia="仿宋_GB2312"/>
          <w:sz w:val="28"/>
          <w:szCs w:val="28"/>
        </w:rPr>
        <w:t>人，其中高级职称占比率约为 74.29%。</w:t>
      </w:r>
    </w:p>
    <w:p w14:paraId="3217E92C">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（三）培养条件建设情况</w:t>
      </w:r>
    </w:p>
    <w:p w14:paraId="5A59067D">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ascii="Times New Roman" w:hAnsi="Times New Roman" w:eastAsia="仿宋_GB2312"/>
          <w:b/>
          <w:bCs/>
          <w:kern w:val="0"/>
          <w:sz w:val="28"/>
          <w:szCs w:val="28"/>
          <w:lang w:bidi="ar"/>
        </w:rPr>
      </w:pPr>
      <w:r>
        <w:rPr>
          <w:rFonts w:ascii="Times New Roman" w:hAnsi="Times New Roman" w:eastAsia="仿宋_GB2312"/>
          <w:b/>
          <w:bCs/>
          <w:kern w:val="0"/>
          <w:sz w:val="28"/>
          <w:szCs w:val="28"/>
          <w:lang w:bidi="ar"/>
        </w:rPr>
        <w:t>1.培训教育基地建设</w:t>
      </w:r>
    </w:p>
    <w:p w14:paraId="245ACA85">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截至目前，河南中医药大学第一、二、三附属医院、河南中医药大学附属郑州人民医院为临床医学研究生提供实习、培训基地，校外兼职导师单位如河南省人民医院、</w:t>
      </w:r>
      <w:r>
        <w:rPr>
          <w:rFonts w:hint="eastAsia" w:ascii="Times New Roman" w:hAnsi="Times New Roman" w:eastAsia="仿宋_GB2312"/>
          <w:sz w:val="28"/>
          <w:szCs w:val="28"/>
        </w:rPr>
        <w:fldChar w:fldCharType="begin"/>
      </w:r>
      <w:r>
        <w:rPr>
          <w:rFonts w:hint="eastAsia" w:ascii="Times New Roman" w:hAnsi="Times New Roman" w:eastAsia="仿宋_GB2312"/>
          <w:sz w:val="28"/>
          <w:szCs w:val="28"/>
        </w:rPr>
        <w:instrText xml:space="preserve"> HYPERLINK "https://baike.baidu.com/item/%E6%AD%A6%E8%AD%A6%E6%B2%B3%E5%8D%97%E6%80%BB%E9%98%9F%E5%8C%BB%E9%99%A2/6901682" \t "https://baike.baidu.com/search/_blank" </w:instrText>
      </w:r>
      <w:r>
        <w:rPr>
          <w:rFonts w:hint="eastAsia" w:ascii="Times New Roman" w:hAnsi="Times New Roman" w:eastAsia="仿宋_GB2312"/>
          <w:sz w:val="28"/>
          <w:szCs w:val="28"/>
        </w:rPr>
        <w:fldChar w:fldCharType="separate"/>
      </w:r>
      <w:r>
        <w:rPr>
          <w:rFonts w:hint="eastAsia" w:ascii="Times New Roman" w:hAnsi="Times New Roman" w:eastAsia="仿宋_GB2312"/>
          <w:sz w:val="28"/>
          <w:szCs w:val="28"/>
        </w:rPr>
        <w:t>武警河南总队医院</w:t>
      </w:r>
      <w:r>
        <w:rPr>
          <w:rFonts w:hint="eastAsia" w:ascii="Times New Roman" w:hAnsi="Times New Roman" w:eastAsia="仿宋_GB2312"/>
          <w:sz w:val="28"/>
          <w:szCs w:val="28"/>
        </w:rPr>
        <w:fldChar w:fldCharType="end"/>
      </w:r>
      <w:r>
        <w:rPr>
          <w:rFonts w:hint="eastAsia" w:ascii="Times New Roman" w:hAnsi="Times New Roman" w:eastAsia="仿宋_GB2312"/>
          <w:sz w:val="28"/>
          <w:szCs w:val="28"/>
        </w:rPr>
        <w:t>、杭州市第一人民医院、郑州市骨科医院等也可作为临床医学研究生临床学习、培训单位。同时，与省内多家基层医疗单位，开展帮扶与合作，每年安排部分医务人员和学生前去工作和学习。</w:t>
      </w:r>
    </w:p>
    <w:p w14:paraId="71E9B0E0">
      <w:pPr>
        <w:widowControl/>
        <w:numPr>
          <w:ilvl w:val="0"/>
          <w:numId w:val="1"/>
        </w:numPr>
        <w:spacing w:line="520" w:lineRule="exact"/>
        <w:ind w:firstLine="562" w:firstLineChars="200"/>
        <w:jc w:val="left"/>
        <w:outlineLvl w:val="2"/>
        <w:rPr>
          <w:rFonts w:ascii="Times New Roman" w:hAnsi="Times New Roman" w:eastAsia="仿宋_GB2312"/>
          <w:b/>
          <w:bCs/>
          <w:kern w:val="0"/>
          <w:sz w:val="28"/>
          <w:szCs w:val="28"/>
          <w:lang w:bidi="ar"/>
        </w:rPr>
      </w:pPr>
      <w:r>
        <w:rPr>
          <w:rFonts w:ascii="Times New Roman" w:hAnsi="Times New Roman" w:eastAsia="仿宋_GB2312"/>
          <w:b/>
          <w:bCs/>
          <w:kern w:val="0"/>
          <w:sz w:val="28"/>
          <w:szCs w:val="28"/>
          <w:lang w:bidi="ar"/>
        </w:rPr>
        <w:t>教学平台建设</w:t>
      </w:r>
    </w:p>
    <w:p w14:paraId="522CDBE7">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学校建立了医学教育中心，包括临床技能实训中心、图书情报室、临床教研室、电子阅览室、多媒体教室等。</w:t>
      </w:r>
    </w:p>
    <w:p w14:paraId="6297607C">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医学教育中心引入了智能化医学综合模拟系统、腹腔镜手术模拟系统、虚拟内镜操作系统等先进模拟教学器具。</w:t>
      </w:r>
    </w:p>
    <w:p w14:paraId="6B1BB211">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在课堂教学方面，我校建有虚拟仿真实验教学空间，2021年被认定为“河南省本科高等学校智慧教学建设示范校”，营造一个现代化、高效且全面的学习环境。在实验教学方面，实验室总面积达到15601m2，仪器设备总值4.2亿元，保障了完备的科研环境。在临床教学方面，拥有4所直属的三甲医院，设置床位12457张，可充分满足实践教学需求。在学术资源方面，纸质藏书213万册，电子图书162.6万册，中外文数据库97种，共3868种中外文期刊。</w:t>
      </w:r>
    </w:p>
    <w:p w14:paraId="0C0AAE24">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除了硬件设施改造和升级，根据实际需求，还建设了智慧教学平台，充分利用“腾讯会议、课堂派”等，将信息技术应用到实际教学中，进一步优化教学元素，提升教学效果。</w:t>
      </w:r>
    </w:p>
    <w:p w14:paraId="6B3BE436">
      <w:pPr>
        <w:widowControl/>
        <w:spacing w:line="520" w:lineRule="exact"/>
        <w:ind w:firstLine="562" w:firstLineChars="200"/>
        <w:jc w:val="left"/>
        <w:outlineLvl w:val="2"/>
        <w:rPr>
          <w:rFonts w:ascii="Times New Roman" w:hAnsi="Times New Roman" w:eastAsia="仿宋_GB2312"/>
          <w:b/>
          <w:bCs/>
          <w:kern w:val="0"/>
          <w:sz w:val="28"/>
          <w:szCs w:val="28"/>
          <w:lang w:bidi="ar"/>
        </w:rPr>
      </w:pPr>
      <w:r>
        <w:rPr>
          <w:rFonts w:ascii="Times New Roman" w:hAnsi="Times New Roman" w:eastAsia="仿宋_GB2312"/>
          <w:b/>
          <w:bCs/>
          <w:kern w:val="0"/>
          <w:sz w:val="28"/>
          <w:szCs w:val="28"/>
          <w:lang w:bidi="ar"/>
        </w:rPr>
        <w:t>3.科研平台建设</w:t>
      </w:r>
    </w:p>
    <w:p w14:paraId="5CC6F2EE">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现拥有国家医学中心（中医类）、国家中医临床教学培训示范中心、国家中医药国际合作交流基地、国家中医药传承创新中心、国家中医临床研究基地等多个国家级平台。河南省重点实验室5个、河南省国际联合实验室3个、河南省工程研究中心12个、河南省工程技术研究中心4个。</w:t>
      </w:r>
    </w:p>
    <w:p w14:paraId="7630927F">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（四）科学研究工作情况</w:t>
      </w:r>
    </w:p>
    <w:p w14:paraId="407104C7">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2022年，本学位点新增科研项目</w:t>
      </w:r>
      <w:r>
        <w:rPr>
          <w:rFonts w:hint="eastAsia" w:ascii="Times New Roman" w:hAnsi="Times New Roman" w:eastAsia="仿宋_GB2312"/>
          <w:sz w:val="28"/>
          <w:szCs w:val="28"/>
          <w:lang w:val="en-US" w:eastAsia="zh-CN"/>
        </w:rPr>
        <w:t>20</w:t>
      </w:r>
      <w:r>
        <w:rPr>
          <w:rFonts w:hint="eastAsia" w:ascii="Times New Roman" w:hAnsi="Times New Roman" w:eastAsia="仿宋_GB2312"/>
          <w:sz w:val="28"/>
          <w:szCs w:val="28"/>
        </w:rPr>
        <w:t>项，论文75篇，专著和教材6部，科研奖励2项，专利1项。在</w:t>
      </w:r>
      <w:r>
        <w:rPr>
          <w:rFonts w:hint="eastAsia" w:ascii="Times New Roman" w:hAnsi="Times New Roman" w:eastAsia="仿宋_GB2312"/>
          <w:sz w:val="28"/>
          <w:szCs w:val="28"/>
          <w:lang w:eastAsia="zh-CN"/>
        </w:rPr>
        <w:t>新增</w:t>
      </w:r>
      <w:r>
        <w:rPr>
          <w:rFonts w:hint="eastAsia" w:ascii="Times New Roman" w:hAnsi="Times New Roman" w:eastAsia="仿宋_GB2312"/>
          <w:sz w:val="28"/>
          <w:szCs w:val="28"/>
        </w:rPr>
        <w:t>科研项目中，横向课题1</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项，</w:t>
      </w:r>
      <w:r>
        <w:rPr>
          <w:rFonts w:hint="eastAsia" w:ascii="Times New Roman" w:hAnsi="Times New Roman" w:eastAsia="仿宋_GB2312"/>
          <w:sz w:val="28"/>
          <w:szCs w:val="28"/>
          <w:lang w:val="en-US" w:eastAsia="zh-CN"/>
        </w:rPr>
        <w:t>其中</w:t>
      </w:r>
      <w:r>
        <w:rPr>
          <w:rFonts w:hint="eastAsia" w:ascii="Times New Roman" w:hAnsi="Times New Roman" w:eastAsia="仿宋_GB2312"/>
          <w:sz w:val="28"/>
          <w:szCs w:val="28"/>
        </w:rPr>
        <w:t>国家级课题</w:t>
      </w:r>
      <w:r>
        <w:rPr>
          <w:rFonts w:hint="eastAsia" w:ascii="Times New Roman" w:hAnsi="Times New Roman" w:eastAsia="仿宋_GB2312"/>
          <w:sz w:val="28"/>
          <w:szCs w:val="28"/>
          <w:lang w:val="en-US" w:eastAsia="zh-CN"/>
        </w:rPr>
        <w:t>4</w:t>
      </w:r>
      <w:r>
        <w:rPr>
          <w:rFonts w:hint="eastAsia" w:ascii="Times New Roman" w:hAnsi="Times New Roman" w:eastAsia="仿宋_GB2312"/>
          <w:sz w:val="28"/>
          <w:szCs w:val="28"/>
        </w:rPr>
        <w:t>项，省部级课题2项。新增的论文中，SCI 13篇，核心期刊</w:t>
      </w:r>
      <w:r>
        <w:rPr>
          <w:rFonts w:hint="eastAsia" w:ascii="Times New Roman" w:hAnsi="Times New Roman" w:eastAsia="仿宋_GB2312"/>
          <w:sz w:val="28"/>
          <w:szCs w:val="28"/>
          <w:lang w:val="en-US" w:eastAsia="zh-CN"/>
        </w:rPr>
        <w:t>48</w:t>
      </w:r>
      <w:r>
        <w:rPr>
          <w:rFonts w:hint="eastAsia" w:ascii="Times New Roman" w:hAnsi="Times New Roman" w:eastAsia="仿宋_GB2312"/>
          <w:sz w:val="28"/>
          <w:szCs w:val="28"/>
        </w:rPr>
        <w:t>篇。</w:t>
      </w:r>
      <w:r>
        <w:rPr>
          <w:rFonts w:hint="eastAsia" w:ascii="Times New Roman" w:hAnsi="Times New Roman" w:eastAsia="仿宋_GB2312"/>
          <w:sz w:val="28"/>
          <w:szCs w:val="28"/>
          <w:lang w:eastAsia="zh-CN"/>
        </w:rPr>
        <w:t>新增</w:t>
      </w:r>
      <w:r>
        <w:rPr>
          <w:rFonts w:hint="eastAsia" w:ascii="Times New Roman" w:hAnsi="Times New Roman" w:eastAsia="仿宋_GB2312"/>
          <w:sz w:val="28"/>
          <w:szCs w:val="28"/>
        </w:rPr>
        <w:t>出版专著5部，教材1部。2022年，共承办学术会议5场次，其中国家级会议1场次，其他为省级学术会议。</w:t>
      </w:r>
    </w:p>
    <w:p w14:paraId="4AD11CD6">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（五）招生与培养情况</w:t>
      </w:r>
    </w:p>
    <w:p w14:paraId="534C0FB6">
      <w:pPr>
        <w:widowControl/>
        <w:spacing w:line="520" w:lineRule="exact"/>
        <w:ind w:firstLine="562" w:firstLineChars="200"/>
        <w:jc w:val="left"/>
        <w:outlineLvl w:val="2"/>
        <w:rPr>
          <w:rFonts w:ascii="Times New Roman" w:hAnsi="Times New Roman" w:eastAsia="仿宋_GB2312"/>
          <w:b/>
          <w:bCs/>
          <w:kern w:val="0"/>
          <w:sz w:val="28"/>
          <w:szCs w:val="28"/>
          <w:lang w:bidi="ar"/>
        </w:rPr>
      </w:pPr>
      <w:r>
        <w:rPr>
          <w:rFonts w:hint="eastAsia" w:ascii="Times New Roman" w:hAnsi="Times New Roman" w:eastAsia="仿宋_GB2312"/>
          <w:b/>
          <w:bCs/>
          <w:kern w:val="0"/>
          <w:sz w:val="28"/>
          <w:szCs w:val="28"/>
          <w:lang w:bidi="ar"/>
        </w:rPr>
        <w:t>1.招生情况</w:t>
      </w:r>
    </w:p>
    <w:p w14:paraId="2803AE62">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学位点硕士研究生全国统招，招生信息在研究生招生办公室网站和中国研究生招生信息网等渠道公布，包括：研究生招生简章、招生专业目录、复试录取办法和各院系、专业招收研究生人数等。在符合录取分数的合格考生中采取差额复试的办法确定复试名单，复试时进行全方位考核，最后根据学生初试和复试成绩择优录取。</w:t>
      </w:r>
    </w:p>
    <w:p w14:paraId="3045A358">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学校通过专项行动强化招生工作，提升招生工作质量，主要包括：一是加强招生宣传力度，通过举办校内外考研咨询会、网上宣传等，吸引优秀生源报考；二是畅通调剂渠道，强化复试环节考核，提高复试成绩的权重，扩大导师招生自主权；三是注重学生科研思维和动手能力的考核，宁缺毋滥；四是强化“阳光招生工程”，注重招生各环节的监督和指导，纪检监察参与，扩大信息公开的内容。严格执行既定完备的招生选拔流程及工作方案，充分体现公开、公平、公正的原则。录取申报材料各项内容透明、规范。录取优质生源率高，学生科研基础扎实。</w:t>
      </w:r>
    </w:p>
    <w:p w14:paraId="7A983437">
      <w:pPr>
        <w:spacing w:before="156" w:beforeLines="50" w:after="156" w:afterLines="50" w:line="520" w:lineRule="exact"/>
        <w:ind w:firstLine="560" w:firstLineChars="200"/>
        <w:outlineLvl w:val="1"/>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2022年硕士招生</w:t>
      </w:r>
      <w:r>
        <w:rPr>
          <w:rFonts w:hint="eastAsia" w:ascii="Times New Roman" w:hAnsi="Times New Roman" w:eastAsia="仿宋_GB2312"/>
          <w:sz w:val="28"/>
          <w:szCs w:val="28"/>
          <w:highlight w:val="none"/>
          <w:lang w:val="en-US" w:eastAsia="zh-CN"/>
        </w:rPr>
        <w:t>55</w:t>
      </w:r>
      <w:r>
        <w:rPr>
          <w:rFonts w:hint="eastAsia" w:ascii="Times New Roman" w:hAnsi="Times New Roman" w:eastAsia="仿宋_GB2312"/>
          <w:sz w:val="28"/>
          <w:szCs w:val="28"/>
          <w:highlight w:val="none"/>
        </w:rPr>
        <w:t>人，授予学位人数29人；授予学位率100%。</w:t>
      </w:r>
    </w:p>
    <w:p w14:paraId="3C182C99">
      <w:pPr>
        <w:widowControl/>
        <w:spacing w:line="520" w:lineRule="exact"/>
        <w:ind w:firstLine="562" w:firstLineChars="200"/>
        <w:jc w:val="left"/>
        <w:outlineLvl w:val="2"/>
        <w:rPr>
          <w:rFonts w:ascii="仿宋" w:hAnsi="仿宋" w:eastAsia="仿宋" w:cs="仿宋"/>
          <w:b/>
          <w:bCs/>
          <w:kern w:val="0"/>
          <w:sz w:val="28"/>
          <w:szCs w:val="28"/>
          <w:lang w:bidi="ar"/>
        </w:rPr>
      </w:pPr>
      <w:r>
        <w:rPr>
          <w:rFonts w:hint="eastAsia" w:ascii="仿宋" w:hAnsi="仿宋" w:eastAsia="仿宋" w:cs="仿宋"/>
          <w:b/>
          <w:bCs/>
          <w:kern w:val="0"/>
          <w:sz w:val="28"/>
          <w:szCs w:val="28"/>
          <w:lang w:bidi="ar"/>
        </w:rPr>
        <w:t>2.培养情况</w:t>
      </w:r>
    </w:p>
    <w:p w14:paraId="0673C4EC">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核心课程是研究生课程体系的中流砥柱，是研究生培养目标的主要实现载体，核心课程的学习是保障研究生培养质量的必要环节。在课程教学建设方面，加强课程教学管理，树立人本管理的理念，坚持发展观念，优化研究生课程体系设置，加强课程管理，合理组织课程教学资源，增加课程教学投入，改进课程管理方法，构建完善的研究生课程教学管理的评估监控体系。课程结构方面，本学位点2022年修改培养方案后开设《新时代中国特色社会主义理论与实践</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自然辩证法概论</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公共英语</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专业英语</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医学统计学</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中医药科技创新思路与方法》等公共课，病理生理学研究</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医学免疫学（含实验）》 、《分子生物学（含实验）》等专业基础课和《生物医学数据挖掘</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临床医学研究进展》等专业课，还设置多门选修课程，保证合理的课程结构，每门课学时18~54学时不等，每18学时为1学分。授课教师方面，课程负责人均在各自的研究方向有深厚造诣，且要求任课教师为教授</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或相当职称)或博士学位的副高级以上职称担任，推行名家名师进课堂，每年授课教师正高级职称占比均在85%以上，保障教学质量。</w:t>
      </w:r>
    </w:p>
    <w:p w14:paraId="22565552">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（六）党建和思政教育情况</w:t>
      </w:r>
    </w:p>
    <w:p w14:paraId="6513FE7B">
      <w:pPr>
        <w:spacing w:line="520" w:lineRule="exact"/>
        <w:ind w:firstLine="562" w:firstLineChars="200"/>
        <w:jc w:val="left"/>
        <w:outlineLvl w:val="2"/>
        <w:rPr>
          <w:rFonts w:ascii="Times New Roman" w:hAnsi="Times New Roman" w:eastAsia="仿宋"/>
          <w:sz w:val="28"/>
          <w:szCs w:val="28"/>
          <w:highlight w:val="yellow"/>
        </w:rPr>
      </w:pPr>
      <w:r>
        <w:rPr>
          <w:rFonts w:ascii="Times New Roman" w:hAnsi="Times New Roman" w:eastAsia="仿宋"/>
          <w:b/>
          <w:bCs/>
          <w:sz w:val="28"/>
          <w:szCs w:val="28"/>
        </w:rPr>
        <w:t>1.党建工作</w:t>
      </w:r>
      <w:r>
        <w:rPr>
          <w:rFonts w:hint="eastAsia" w:ascii="Times New Roman" w:hAnsi="Times New Roman" w:eastAsia="仿宋"/>
          <w:b/>
          <w:bCs/>
          <w:sz w:val="28"/>
          <w:szCs w:val="28"/>
        </w:rPr>
        <w:t>情况</w:t>
      </w:r>
    </w:p>
    <w:p w14:paraId="4B16B0C4">
      <w:pPr>
        <w:spacing w:before="156" w:beforeLines="50" w:after="156" w:afterLines="50" w:line="520" w:lineRule="exact"/>
        <w:ind w:firstLine="560" w:firstLineChars="200"/>
        <w:outlineLvl w:val="1"/>
        <w:rPr>
          <w:rFonts w:hint="eastAsia" w:ascii="Times New Roman" w:hAnsi="Times New Roman" w:eastAsia="仿宋_GB2312"/>
          <w:sz w:val="28"/>
          <w:szCs w:val="28"/>
          <w:lang w:val="zh-CN"/>
        </w:rPr>
      </w:pPr>
      <w:r>
        <w:rPr>
          <w:rFonts w:hint="eastAsia" w:ascii="Times New Roman" w:hAnsi="Times New Roman" w:eastAsia="仿宋_GB2312"/>
          <w:sz w:val="28"/>
          <w:szCs w:val="28"/>
        </w:rPr>
        <w:t>临床医学</w:t>
      </w:r>
      <w:r>
        <w:rPr>
          <w:rFonts w:hint="eastAsia" w:ascii="Times New Roman" w:hAnsi="Times New Roman" w:eastAsia="仿宋_GB2312"/>
          <w:sz w:val="28"/>
          <w:szCs w:val="28"/>
          <w:lang w:eastAsia="zh-CN"/>
        </w:rPr>
        <w:t>学科</w:t>
      </w:r>
      <w:r>
        <w:rPr>
          <w:rFonts w:hint="eastAsia" w:ascii="Times New Roman" w:hAnsi="Times New Roman" w:eastAsia="仿宋_GB2312"/>
          <w:sz w:val="28"/>
          <w:szCs w:val="28"/>
        </w:rPr>
        <w:t>覆盖4个二级党委、</w:t>
      </w:r>
      <w:r>
        <w:rPr>
          <w:rFonts w:hint="eastAsia" w:ascii="Times New Roman" w:hAnsi="Times New Roman" w:eastAsia="仿宋_GB2312"/>
          <w:sz w:val="28"/>
          <w:szCs w:val="28"/>
          <w:lang w:val="en-US" w:eastAsia="zh-CN"/>
        </w:rPr>
        <w:t>15</w:t>
      </w:r>
      <w:r>
        <w:rPr>
          <w:rFonts w:hint="eastAsia" w:ascii="Times New Roman" w:hAnsi="Times New Roman" w:eastAsia="仿宋_GB2312"/>
          <w:sz w:val="28"/>
          <w:szCs w:val="28"/>
        </w:rPr>
        <w:t>个支部。学科坚持社会主义办学方向，以习近平新时代中国特色社会主义思想为指导，以实现高质量发展为主线，认真落实立德树人根本任务，立足学科专业特色，深入挖掘学科资源，积极开展课程思政教学改革，将知识传授与价值引领有机统一，实现课程育人。</w:t>
      </w:r>
    </w:p>
    <w:p w14:paraId="40882140">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2022年，学校全体师生定期召开党员专题生活会，进一步进行理论学习，同时，开展了一系列专题活动，全年共开展各类党建活动多场，主要有：“喜迎二十大 寄语新学期丨儿科医学院有话说”喜迎二十大，寄语新学期。在党的二十大即将召开之际，在秋季新学期如约开启之时，我校全体师生纷纷表示，新学期要砥砺奋进、奋发作为、勇毅前行、知责担当，以优异成绩为党的二十大献礼；“康复医学院召开党委中心组学习（扩大）会议”会议要求，学院领导班子和各党支部书记、科室负责人，要切实加强应对防范风险挑战、应对突发事件知识的学习，提升应急处突能力，全面学习贯彻习近平总书记重要讲话精神和学校党委的部署，落实好</w:t>
      </w:r>
      <w:r>
        <w:rPr>
          <w:rFonts w:hint="eastAsia" w:ascii="Times New Roman" w:hAnsi="Times New Roman" w:eastAsia="仿宋_GB2312"/>
          <w:sz w:val="28"/>
          <w:szCs w:val="28"/>
          <w:lang w:eastAsia="zh-CN"/>
        </w:rPr>
        <w:t>“一岗双责”</w:t>
      </w:r>
      <w:r>
        <w:rPr>
          <w:rFonts w:hint="eastAsia" w:ascii="Times New Roman" w:hAnsi="Times New Roman" w:eastAsia="仿宋_GB2312"/>
          <w:sz w:val="28"/>
          <w:szCs w:val="28"/>
        </w:rPr>
        <w:t>，</w:t>
      </w:r>
      <w:r>
        <w:rPr>
          <w:rFonts w:hint="eastAsia" w:ascii="Times New Roman" w:hAnsi="Times New Roman" w:eastAsia="仿宋_GB2312"/>
          <w:sz w:val="28"/>
          <w:szCs w:val="28"/>
          <w:lang w:eastAsia="zh-CN"/>
        </w:rPr>
        <w:t>“党政同责”</w:t>
      </w:r>
      <w:r>
        <w:rPr>
          <w:rFonts w:hint="eastAsia" w:ascii="Times New Roman" w:hAnsi="Times New Roman" w:eastAsia="仿宋_GB2312"/>
          <w:sz w:val="28"/>
          <w:szCs w:val="28"/>
        </w:rPr>
        <w:t>，狠抓工作责任落实，切实保障师生安全和学院平安建设；“我校师生认真收听收看党的二十大开幕会盛况”学校各基层党组织在疫情防控要求下，坚持就近就便原则，灵活运用电视、网络、学习强国等媒体平台，丰富学习形式，组织师生分别在办公室、宿舍以及家中收听收看，确保师生全覆盖等，提升师生的爱国主义精神。</w:t>
      </w:r>
    </w:p>
    <w:p w14:paraId="41706A1E">
      <w:pPr>
        <w:spacing w:line="520" w:lineRule="exact"/>
        <w:ind w:firstLine="562" w:firstLineChars="200"/>
        <w:jc w:val="left"/>
        <w:outlineLvl w:val="2"/>
        <w:rPr>
          <w:rFonts w:ascii="Times New Roman" w:hAnsi="Times New Roman" w:eastAsia="仿宋"/>
          <w:b/>
          <w:bCs/>
          <w:sz w:val="28"/>
          <w:szCs w:val="28"/>
        </w:rPr>
      </w:pPr>
      <w:r>
        <w:rPr>
          <w:rFonts w:ascii="Times New Roman" w:hAnsi="Times New Roman" w:eastAsia="仿宋"/>
          <w:b/>
          <w:bCs/>
          <w:sz w:val="28"/>
          <w:szCs w:val="28"/>
        </w:rPr>
        <w:t>2.思政教育情况</w:t>
      </w:r>
    </w:p>
    <w:p w14:paraId="10A3E0E3">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课程思政项目建设是全面提高人才培养质量的重要举措，学校将围绕“坚守立德树人、坚持过程管理、注重示范引领、强化政策保障”等方面加强统筹协调，提升全校教师开展课程思政的意识和能力，营造课程思政建设的良好氛围，形成高质量的课程思政教科研成果，积极构建“大思政”育人格局，推动新时代高校课程思政工作创新发展，努力培养更多担当民族复兴大任的时代新人。目前，河南中医药大学已认定19门省级课程思政样板课程、立项3个省级课程思政教学团队和1个省级课程思政教学研究特色化示范中心。</w:t>
      </w:r>
    </w:p>
    <w:p w14:paraId="79F70BB9">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为了进一步领会</w:t>
      </w:r>
      <w:r>
        <w:rPr>
          <w:rFonts w:hint="eastAsia" w:ascii="Times New Roman" w:hAnsi="Times New Roman" w:eastAsia="仿宋_GB2312"/>
          <w:sz w:val="28"/>
          <w:szCs w:val="28"/>
          <w:lang w:eastAsia="zh-CN"/>
        </w:rPr>
        <w:t>党的二十大精神</w:t>
      </w:r>
      <w:r>
        <w:rPr>
          <w:rFonts w:hint="eastAsia" w:ascii="Times New Roman" w:hAnsi="Times New Roman" w:eastAsia="仿宋_GB2312"/>
          <w:sz w:val="28"/>
          <w:szCs w:val="28"/>
        </w:rPr>
        <w:t>，加强学校思政教育，将党的二十大精神融入课程教学。在学校人才培养目标的指引下，加强课程建设，优化课程体系，提高课程质量。开设人文教育体系、交叉融合体系、基础理论体系及创新实践体系课程。建立课程管理平台，建立跨学科师资合作机制，鼓励多学科、多领域优秀教师和行业高端人才合作授课。</w:t>
      </w:r>
    </w:p>
    <w:p w14:paraId="1589BF4E">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通过培训和考核的方式，加大对多学科交叉授课的考核力度，督促任课教师从思想和行动上执行学校的教育理念；建立一批示范课程，并在校内外进行循环展示和经验交流。聚焦中西医临床医学发展前沿，按照规定课程设置，在完成既定课程任务目标的前提下，增加临床实践课程的比例。</w:t>
      </w:r>
    </w:p>
    <w:p w14:paraId="607CD9FE">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根据临床学科教学特点，充分利用现代化教学手段，优化教学方式。课程教学、线上教学、现场教学、远程案例教学等多种教学方式的改革充分调动了教师和研究生的积极性。开设以名家名师为授课主体的医学史、临床医学学科史、医术人生、医学人文大讲堂、临床决策与医患共情、医患沟通实操、医学法学等课程，多维度加强研究生的医学人文素养教育。</w:t>
      </w:r>
    </w:p>
    <w:p w14:paraId="30C3CA21">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（七）服务社会情况</w:t>
      </w:r>
    </w:p>
    <w:p w14:paraId="622E1A32">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在学校各级党组织的领导下，临床学位点全体师生严格践行“全心全意为人民服务”的宗旨意识，大力开展各种公益活动，充分展示中医药大学在中医药治疗方面的优势和特色。全年开展各类活动30余场，主要包括：国际教育学院成功举办“耀月华章，师者如光”线上双节晚会；成都中医药大学交换实习生座谈会；医学院举办近三年新进博士座谈会；致敬英雄！三附院举行援琼医疗队员凯旋欢迎仪式；我校师生2022年秋季开学思政第一课；2022小萌新沉浸式开学体验，河南中医药大学本草书院“云”直播迎新；第十三届全国高校外语教学大赛河南赛区（跨文化组）比赛；“富士”红又甜 温情满校园：东明校区疫情防控专班为同学们送温暖等。</w:t>
      </w:r>
    </w:p>
    <w:p w14:paraId="1DAFD193">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2022年是充满成果与收获的一年，也是充实而富有意义的一年。在这一年里，临床医学学位点的全体师生以实际行动践行了自己的初心与使命，深刻体现了“人民至上、生命至上”的理念，勇敢承担起保护人民健康的责任。他们不畏艰难、迎难而上，团结协作，展现了坚定的责任感与担当精神。同时，这一年也彰显了中医药行业的仁爱精神和救死扶伤的伟大胸怀。</w:t>
      </w:r>
    </w:p>
    <w:p w14:paraId="7D07ACF8">
      <w:pPr>
        <w:spacing w:before="156" w:beforeLines="50" w:after="156" w:afterLines="50" w:line="520" w:lineRule="exact"/>
        <w:jc w:val="left"/>
        <w:outlineLvl w:val="0"/>
        <w:rPr>
          <w:rFonts w:ascii="Times New Roman" w:hAnsi="Times New Roman" w:eastAsia="黑体"/>
          <w:bCs/>
          <w:sz w:val="28"/>
          <w:szCs w:val="28"/>
        </w:rPr>
      </w:pPr>
      <w:r>
        <w:rPr>
          <w:rFonts w:ascii="Times New Roman" w:hAnsi="Times New Roman" w:eastAsia="黑体"/>
          <w:bCs/>
          <w:sz w:val="28"/>
          <w:szCs w:val="28"/>
        </w:rPr>
        <w:t>三、学位点建设评估与分析</w:t>
      </w:r>
    </w:p>
    <w:p w14:paraId="2A83AB9E">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（一）学位点建设进展及问题分析</w:t>
      </w:r>
    </w:p>
    <w:p w14:paraId="28F8A525">
      <w:pPr>
        <w:widowControl/>
        <w:spacing w:line="520" w:lineRule="exact"/>
        <w:ind w:firstLine="562" w:firstLineChars="200"/>
        <w:jc w:val="left"/>
        <w:outlineLvl w:val="2"/>
        <w:rPr>
          <w:rFonts w:ascii="Times New Roman" w:hAnsi="Times New Roman" w:eastAsia="仿宋_GB2312"/>
          <w:b/>
          <w:bCs/>
          <w:color w:val="000000"/>
          <w:kern w:val="0"/>
          <w:sz w:val="28"/>
          <w:szCs w:val="28"/>
          <w:lang w:bidi="ar"/>
        </w:rPr>
      </w:pPr>
      <w:r>
        <w:rPr>
          <w:rFonts w:hint="eastAsia" w:ascii="Times New Roman" w:hAnsi="Times New Roman" w:eastAsia="仿宋_GB2312"/>
          <w:b/>
          <w:bCs/>
          <w:color w:val="000000"/>
          <w:kern w:val="0"/>
          <w:sz w:val="28"/>
          <w:szCs w:val="28"/>
          <w:lang w:bidi="ar"/>
        </w:rPr>
        <w:t>1</w:t>
      </w:r>
      <w:r>
        <w:rPr>
          <w:rFonts w:ascii="Times New Roman" w:hAnsi="Times New Roman" w:eastAsia="仿宋_GB2312"/>
          <w:b/>
          <w:bCs/>
          <w:color w:val="000000"/>
          <w:kern w:val="0"/>
          <w:sz w:val="28"/>
          <w:szCs w:val="28"/>
          <w:lang w:bidi="ar"/>
        </w:rPr>
        <w:t>.</w:t>
      </w:r>
      <w:r>
        <w:rPr>
          <w:rFonts w:hint="eastAsia" w:ascii="Times New Roman" w:hAnsi="Times New Roman" w:eastAsia="仿宋_GB2312"/>
          <w:b/>
          <w:bCs/>
          <w:color w:val="000000"/>
          <w:kern w:val="0"/>
          <w:sz w:val="28"/>
          <w:szCs w:val="28"/>
          <w:lang w:bidi="ar"/>
        </w:rPr>
        <w:t>学科资源整合与合作平台薄弱</w:t>
      </w:r>
    </w:p>
    <w:p w14:paraId="007080A1">
      <w:pPr>
        <w:spacing w:before="156" w:beforeLines="50" w:after="156" w:afterLines="50" w:line="520" w:lineRule="exact"/>
        <w:ind w:firstLine="560" w:firstLineChars="200"/>
        <w:outlineLvl w:val="1"/>
        <w:rPr>
          <w:rFonts w:hint="eastAsia" w:ascii="Times New Roman" w:hAnsi="Times New Roman" w:eastAsia="仿宋_GB2312"/>
          <w:sz w:val="28"/>
          <w:szCs w:val="28"/>
        </w:rPr>
      </w:pPr>
      <w:r>
        <w:rPr>
          <w:rFonts w:hint="eastAsia" w:ascii="Times New Roman" w:hAnsi="Times New Roman" w:eastAsia="仿宋_GB2312"/>
          <w:sz w:val="28"/>
          <w:szCs w:val="28"/>
        </w:rPr>
        <w:t>当前学位点的学科资源整合和校院合作平台的建设仍显不足。尽管中医药大学在中医教育上具有一定优势，但在跨学科合作和资源共享方面仍有较大提升空间。临床医学学位点的建设应进一步加强与其他医学学科的合作，特别是在中西医结合研究、临床转化等方面，建立多学科、多领域的合作平台，以提升学位点的整体办学水平和影响力。此外，校外实习基地的建设和临床医疗机构的合作力度不足，制约了学位点建设的持续发展。</w:t>
      </w:r>
    </w:p>
    <w:p w14:paraId="77035C34">
      <w:pPr>
        <w:widowControl/>
        <w:spacing w:line="520" w:lineRule="exact"/>
        <w:ind w:firstLine="562" w:firstLineChars="200"/>
        <w:jc w:val="left"/>
        <w:outlineLvl w:val="2"/>
        <w:rPr>
          <w:rFonts w:ascii="Times New Roman" w:hAnsi="Times New Roman" w:eastAsia="仿宋_GB2312"/>
          <w:b/>
          <w:bCs/>
          <w:color w:val="000000"/>
          <w:kern w:val="0"/>
          <w:sz w:val="28"/>
          <w:szCs w:val="28"/>
          <w:lang w:bidi="ar"/>
        </w:rPr>
      </w:pPr>
      <w:r>
        <w:rPr>
          <w:rFonts w:hint="eastAsia" w:ascii="Times New Roman" w:hAnsi="Times New Roman" w:eastAsia="仿宋_GB2312"/>
          <w:b/>
          <w:bCs/>
          <w:color w:val="000000"/>
          <w:kern w:val="0"/>
          <w:sz w:val="28"/>
          <w:szCs w:val="28"/>
          <w:lang w:bidi="ar"/>
        </w:rPr>
        <w:t>2</w:t>
      </w:r>
      <w:r>
        <w:rPr>
          <w:rFonts w:ascii="Times New Roman" w:hAnsi="Times New Roman" w:eastAsia="仿宋_GB2312"/>
          <w:b/>
          <w:bCs/>
          <w:color w:val="000000"/>
          <w:kern w:val="0"/>
          <w:sz w:val="28"/>
          <w:szCs w:val="28"/>
          <w:lang w:bidi="ar"/>
        </w:rPr>
        <w:t>.</w:t>
      </w:r>
      <w:r>
        <w:rPr>
          <w:rFonts w:hint="eastAsia" w:ascii="Times New Roman" w:hAnsi="Times New Roman" w:eastAsia="仿宋_GB2312"/>
          <w:b/>
          <w:bCs/>
          <w:color w:val="000000"/>
          <w:kern w:val="0"/>
          <w:sz w:val="28"/>
          <w:szCs w:val="28"/>
          <w:lang w:bidi="ar"/>
        </w:rPr>
        <w:t>学位点建设的政策支持不足</w:t>
      </w:r>
    </w:p>
    <w:p w14:paraId="3AA6B627">
      <w:pPr>
        <w:spacing w:before="156" w:beforeLines="50" w:after="156" w:afterLines="50" w:line="520" w:lineRule="exact"/>
        <w:ind w:firstLine="560" w:firstLineChars="200"/>
        <w:outlineLvl w:val="1"/>
        <w:rPr>
          <w:rFonts w:ascii="Times New Roman" w:hAnsi="Times New Roman" w:eastAsia="仿宋_GB2312"/>
          <w:bCs/>
          <w:color w:val="000000"/>
          <w:kern w:val="0"/>
          <w:sz w:val="28"/>
          <w:szCs w:val="28"/>
          <w:lang w:bidi="ar"/>
        </w:rPr>
      </w:pPr>
      <w:r>
        <w:rPr>
          <w:rFonts w:hint="eastAsia" w:ascii="Times New Roman" w:hAnsi="Times New Roman" w:eastAsia="仿宋_GB2312"/>
          <w:bCs/>
          <w:color w:val="000000"/>
          <w:kern w:val="0"/>
          <w:sz w:val="28"/>
          <w:szCs w:val="28"/>
          <w:lang w:bidi="ar"/>
        </w:rPr>
        <w:t>虽然国家在中医药振兴和发展方面出台了一系列政策，但具体到中医药大学的临床医学学位点建设上，政策的支持力度仍然不足。中西医结合的临床医学人才培养模式需要政府部门在政策引导、资金投入、科研平台建设等方面提供更多的支持。同时，学位点的建设也需要国家层面的政策引导，鼓励各大中医药院校加强中西医结合的教育、科研和临床实践。</w:t>
      </w:r>
    </w:p>
    <w:p w14:paraId="56F52E2D">
      <w:pPr>
        <w:widowControl/>
        <w:spacing w:line="520" w:lineRule="exact"/>
        <w:ind w:firstLine="562" w:firstLineChars="200"/>
        <w:jc w:val="left"/>
        <w:outlineLvl w:val="2"/>
        <w:rPr>
          <w:rFonts w:ascii="Times New Roman" w:hAnsi="Times New Roman" w:eastAsia="仿宋_GB2312"/>
          <w:b/>
          <w:bCs/>
          <w:color w:val="000000"/>
          <w:kern w:val="0"/>
          <w:sz w:val="28"/>
          <w:szCs w:val="28"/>
          <w:lang w:bidi="ar"/>
        </w:rPr>
      </w:pPr>
      <w:r>
        <w:rPr>
          <w:rFonts w:ascii="Times New Roman" w:hAnsi="Times New Roman" w:eastAsia="仿宋_GB2312"/>
          <w:b/>
          <w:bCs/>
          <w:color w:val="000000"/>
          <w:kern w:val="0"/>
          <w:sz w:val="28"/>
          <w:szCs w:val="28"/>
          <w:lang w:bidi="ar"/>
        </w:rPr>
        <w:t>3.临床教育与传统中医药文化的融合难度大</w:t>
      </w:r>
    </w:p>
    <w:p w14:paraId="72D5D672">
      <w:pPr>
        <w:widowControl/>
        <w:spacing w:line="520" w:lineRule="exact"/>
        <w:ind w:firstLine="560" w:firstLineChars="200"/>
        <w:jc w:val="left"/>
        <w:outlineLvl w:val="2"/>
        <w:rPr>
          <w:rFonts w:ascii="Times New Roman" w:hAnsi="Times New Roman" w:eastAsia="仿宋_GB2312"/>
          <w:sz w:val="28"/>
          <w:szCs w:val="28"/>
        </w:rPr>
      </w:pPr>
      <w:r>
        <w:rPr>
          <w:rFonts w:hint="eastAsia" w:ascii="Times New Roman" w:hAnsi="Times New Roman" w:eastAsia="仿宋_GB2312"/>
          <w:sz w:val="28"/>
          <w:szCs w:val="28"/>
        </w:rPr>
        <w:t>在临床医学学位点建设中，中医药文化的传承与现代医学教育的结合仍然面临较大挑战。传统中医文化强调个体化诊疗、辨证施治等理念，但这些理念在现代医学教学体系中缺乏系统性和规范化的表达方式，导致其与现代临床医学的结合难度较大。当前，临床医学学位点的教学内容较多依赖于西医的标准化治疗模式，忽视了中医独特的辨证论治、整体观念等重要元素。如何将中医药文化与现代医学知识有机融合，形成独具特色的临床教学体系，需要进一步探索和创新，以确保中医药传统智慧能够在现代医学教育中得到有效传承。</w:t>
      </w:r>
      <w:r>
        <w:rPr>
          <w:rFonts w:ascii="Times New Roman" w:hAnsi="Times New Roman" w:eastAsia="仿宋_GB2312"/>
          <w:sz w:val="28"/>
          <w:szCs w:val="28"/>
        </w:rPr>
        <w:t xml:space="preserve"> </w:t>
      </w:r>
    </w:p>
    <w:p w14:paraId="1090BB7E">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rPr>
        <w:t>（二）论文抽检、盲审情况问题分析</w:t>
      </w:r>
    </w:p>
    <w:p w14:paraId="1B758FCA">
      <w:pPr>
        <w:widowControl/>
        <w:spacing w:line="520" w:lineRule="exact"/>
        <w:ind w:firstLine="560" w:firstLineChars="200"/>
        <w:jc w:val="left"/>
        <w:outlineLvl w:val="2"/>
        <w:rPr>
          <w:rFonts w:hint="eastAsia" w:ascii="Times New Roman" w:hAnsi="Times New Roman" w:eastAsia="仿宋_GB2312"/>
          <w:sz w:val="28"/>
          <w:szCs w:val="28"/>
        </w:rPr>
      </w:pPr>
      <w:r>
        <w:rPr>
          <w:rFonts w:hint="eastAsia" w:ascii="Times New Roman" w:hAnsi="Times New Roman" w:eastAsia="仿宋_GB2312"/>
          <w:sz w:val="28"/>
          <w:szCs w:val="28"/>
        </w:rPr>
        <w:t>为进一步加强学术规范，提高论文质量，学校严格执行教育部门的相关规定，加强对学生论文质量的管理，加强对导师观念意识的提升，确保学术产出合格。但是，在本年度的论文抽检和盲审过程中，也存在着一些问题。存在抄袭现象</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部分论文在撰写过程中，存在抄袭他人研究成果的问题；质量参差不齐</w:t>
      </w:r>
      <w:r>
        <w:rPr>
          <w:rFonts w:hint="eastAsia" w:ascii="Times New Roman" w:hAnsi="Times New Roman" w:eastAsia="仿宋_GB2312"/>
          <w:sz w:val="28"/>
          <w:szCs w:val="28"/>
          <w:lang w:eastAsia="zh-CN"/>
        </w:rPr>
        <w:t>：</w:t>
      </w:r>
      <w:r>
        <w:rPr>
          <w:rFonts w:hint="eastAsia" w:ascii="Times New Roman" w:hAnsi="Times New Roman" w:eastAsia="仿宋_GB2312"/>
          <w:sz w:val="28"/>
          <w:szCs w:val="28"/>
        </w:rPr>
        <w:t>部分论文选题缺乏创新，研究方法简单，结论缺乏说服力，还有个别论文出现排版和文字的低级错误。</w:t>
      </w:r>
    </w:p>
    <w:p w14:paraId="081A0902">
      <w:pPr>
        <w:widowControl/>
        <w:spacing w:line="520" w:lineRule="exact"/>
        <w:ind w:firstLine="560" w:firstLineChars="200"/>
        <w:jc w:val="left"/>
        <w:outlineLvl w:val="2"/>
        <w:rPr>
          <w:rFonts w:hint="eastAsia" w:ascii="Times New Roman" w:hAnsi="Times New Roman" w:eastAsia="仿宋_GB2312"/>
          <w:sz w:val="28"/>
          <w:szCs w:val="28"/>
        </w:rPr>
      </w:pPr>
      <w:r>
        <w:rPr>
          <w:rFonts w:hint="eastAsia" w:ascii="Times New Roman" w:hAnsi="Times New Roman" w:eastAsia="仿宋_GB2312"/>
          <w:sz w:val="28"/>
          <w:szCs w:val="28"/>
        </w:rPr>
        <w:t>2022年，本学位点研究生论文抽检和盲审工作中，尚未发现学术不端行为。毕业论文外审通过率100%；研究生全员参与导师的科研课题研究，参与比例100%；硕士学位论文选题100%为导师在研课题或与其研究相关的项目；学位论文抽检100%合格。</w:t>
      </w:r>
    </w:p>
    <w:p w14:paraId="69D85649">
      <w:pPr>
        <w:spacing w:before="156" w:beforeLines="50" w:after="156" w:afterLines="50" w:line="520" w:lineRule="exact"/>
        <w:jc w:val="left"/>
        <w:outlineLvl w:val="0"/>
        <w:rPr>
          <w:rFonts w:ascii="Times New Roman" w:hAnsi="Times New Roman" w:eastAsia="黑体"/>
          <w:bCs/>
          <w:sz w:val="28"/>
          <w:szCs w:val="28"/>
        </w:rPr>
      </w:pPr>
      <w:r>
        <w:rPr>
          <w:rFonts w:ascii="Times New Roman" w:hAnsi="Times New Roman" w:eastAsia="黑体"/>
          <w:bCs/>
          <w:sz w:val="28"/>
          <w:szCs w:val="28"/>
        </w:rPr>
        <w:t>四、下一年度建设计划</w:t>
      </w:r>
    </w:p>
    <w:p w14:paraId="6D30D70A">
      <w:pPr>
        <w:widowControl/>
        <w:spacing w:before="156" w:beforeLines="50" w:after="156" w:afterLines="50" w:line="520" w:lineRule="exact"/>
        <w:ind w:firstLine="562" w:firstLineChars="200"/>
        <w:jc w:val="left"/>
        <w:outlineLvl w:val="1"/>
        <w:rPr>
          <w:rFonts w:hint="eastAsia" w:ascii="Times New Roman" w:hAnsi="Times New Roman" w:eastAsia="楷体_GB2312"/>
          <w:b/>
          <w:bCs/>
          <w:sz w:val="28"/>
          <w:szCs w:val="28"/>
        </w:rPr>
      </w:pPr>
      <w:r>
        <w:rPr>
          <w:rFonts w:hint="eastAsia" w:ascii="Times New Roman" w:hAnsi="Times New Roman" w:eastAsia="楷体_GB2312"/>
          <w:b/>
          <w:bCs/>
          <w:sz w:val="28"/>
          <w:szCs w:val="28"/>
          <w:lang w:eastAsia="zh-CN"/>
        </w:rPr>
        <w:t>（</w:t>
      </w:r>
      <w:r>
        <w:rPr>
          <w:rFonts w:hint="eastAsia" w:ascii="Times New Roman" w:hAnsi="Times New Roman" w:eastAsia="楷体_GB2312"/>
          <w:b/>
          <w:bCs/>
          <w:sz w:val="28"/>
          <w:szCs w:val="28"/>
          <w:lang w:val="en-US" w:eastAsia="zh-CN"/>
        </w:rPr>
        <w:t>一</w:t>
      </w:r>
      <w:r>
        <w:rPr>
          <w:rFonts w:hint="eastAsia" w:ascii="Times New Roman" w:hAnsi="Times New Roman" w:eastAsia="楷体_GB2312"/>
          <w:b/>
          <w:bCs/>
          <w:sz w:val="28"/>
          <w:szCs w:val="28"/>
          <w:lang w:eastAsia="zh-CN"/>
        </w:rPr>
        <w:t>）</w:t>
      </w:r>
      <w:r>
        <w:rPr>
          <w:rFonts w:hint="eastAsia" w:ascii="Times New Roman" w:hAnsi="Times New Roman" w:eastAsia="楷体_GB2312"/>
          <w:b/>
          <w:bCs/>
          <w:sz w:val="28"/>
          <w:szCs w:val="28"/>
        </w:rPr>
        <w:t>加强学科资源整合与合作平台的建设</w:t>
      </w:r>
    </w:p>
    <w:p w14:paraId="47C3C7E8">
      <w:pPr>
        <w:widowControl/>
        <w:spacing w:line="520" w:lineRule="exact"/>
        <w:ind w:firstLine="560" w:firstLineChars="200"/>
        <w:jc w:val="left"/>
        <w:outlineLvl w:val="2"/>
        <w:rPr>
          <w:rFonts w:hint="eastAsia" w:ascii="Times New Roman" w:hAnsi="Times New Roman" w:eastAsia="仿宋_GB2312"/>
          <w:sz w:val="28"/>
          <w:szCs w:val="28"/>
        </w:rPr>
      </w:pPr>
      <w:r>
        <w:rPr>
          <w:rFonts w:hint="eastAsia" w:ascii="Times New Roman" w:hAnsi="Times New Roman" w:eastAsia="仿宋_GB2312"/>
          <w:sz w:val="28"/>
          <w:szCs w:val="28"/>
        </w:rPr>
        <w:t>为了加强学科资源整合与合作平台的建设，临床医学学位点应积极推动跨学科合作，特别是在中西医结合研究、临床转化等方面。通过搭建多学科合作平台，促进医学与其他领域的资源共享和协同创新。此外，应加强与国内外优秀医疗机构、科研单位的合作，提升学位点的学术影响力和科研水平。进一步建设和优化校外实习基地，拓展与临床医疗机构的合作，提升学生的实践能力和临床经验，推动学位点建设的可持续发展。</w:t>
      </w:r>
    </w:p>
    <w:p w14:paraId="649C83A4">
      <w:pPr>
        <w:widowControl/>
        <w:spacing w:before="156" w:beforeLines="50" w:after="156" w:afterLines="50" w:line="520" w:lineRule="exact"/>
        <w:ind w:firstLine="562" w:firstLineChars="200"/>
        <w:jc w:val="left"/>
        <w:outlineLvl w:val="1"/>
        <w:rPr>
          <w:rFonts w:ascii="Times New Roman" w:hAnsi="Times New Roman" w:eastAsia="仿宋_GB2312"/>
          <w:b/>
          <w:bCs/>
          <w:color w:val="000000"/>
          <w:kern w:val="0"/>
          <w:sz w:val="28"/>
          <w:szCs w:val="28"/>
          <w:lang w:bidi="ar"/>
        </w:rPr>
      </w:pPr>
      <w:r>
        <w:rPr>
          <w:rFonts w:hint="eastAsia" w:ascii="Times New Roman" w:hAnsi="Times New Roman" w:eastAsia="仿宋_GB2312"/>
          <w:b/>
          <w:bCs/>
          <w:color w:val="000000"/>
          <w:kern w:val="0"/>
          <w:sz w:val="28"/>
          <w:szCs w:val="28"/>
          <w:lang w:eastAsia="zh-CN" w:bidi="ar"/>
        </w:rPr>
        <w:t>（</w:t>
      </w:r>
      <w:r>
        <w:rPr>
          <w:rFonts w:hint="eastAsia" w:ascii="Times New Roman" w:hAnsi="Times New Roman" w:eastAsia="仿宋_GB2312"/>
          <w:b/>
          <w:bCs/>
          <w:color w:val="000000"/>
          <w:kern w:val="0"/>
          <w:sz w:val="28"/>
          <w:szCs w:val="28"/>
          <w:lang w:val="en-US" w:eastAsia="zh-CN" w:bidi="ar"/>
        </w:rPr>
        <w:t>二</w:t>
      </w:r>
      <w:r>
        <w:rPr>
          <w:rFonts w:hint="eastAsia" w:ascii="Times New Roman" w:hAnsi="Times New Roman" w:eastAsia="仿宋_GB2312"/>
          <w:b/>
          <w:bCs/>
          <w:color w:val="000000"/>
          <w:kern w:val="0"/>
          <w:sz w:val="28"/>
          <w:szCs w:val="28"/>
          <w:lang w:eastAsia="zh-CN" w:bidi="ar"/>
        </w:rPr>
        <w:t>）</w:t>
      </w:r>
      <w:r>
        <w:rPr>
          <w:rFonts w:hint="eastAsia" w:ascii="Times New Roman" w:hAnsi="Times New Roman" w:eastAsia="仿宋_GB2312"/>
          <w:b/>
          <w:bCs/>
          <w:color w:val="000000"/>
          <w:kern w:val="0"/>
          <w:sz w:val="28"/>
          <w:szCs w:val="28"/>
          <w:lang w:bidi="ar"/>
        </w:rPr>
        <w:t>增加学位点建设的政策支持</w:t>
      </w:r>
    </w:p>
    <w:p w14:paraId="510CB10E">
      <w:pPr>
        <w:widowControl/>
        <w:spacing w:line="520" w:lineRule="exact"/>
        <w:ind w:firstLine="560" w:firstLineChars="200"/>
        <w:jc w:val="left"/>
        <w:outlineLvl w:val="2"/>
        <w:rPr>
          <w:rFonts w:hint="eastAsia" w:ascii="Times New Roman" w:hAnsi="Times New Roman" w:eastAsia="仿宋_GB2312"/>
          <w:sz w:val="28"/>
          <w:szCs w:val="28"/>
        </w:rPr>
      </w:pPr>
      <w:r>
        <w:rPr>
          <w:rFonts w:hint="eastAsia" w:ascii="Times New Roman" w:hAnsi="Times New Roman" w:eastAsia="仿宋_GB2312"/>
          <w:sz w:val="28"/>
          <w:szCs w:val="28"/>
        </w:rPr>
        <w:t>为加强政策支持，学位点应积极向政府相关部门争取更多政策引导和资金支持，推动中西医结合的人才培养模式改革。同时，争取在科研平台建设、学科建设等方面获得更多资源投入，强化学术研究与临床应用的结合。学位点可加强与其他中医药院校及医疗机构的合作，共同推动中西医结合教育、科研和临床实践，形成合力促进政策落实。</w:t>
      </w:r>
    </w:p>
    <w:p w14:paraId="3B0857EC">
      <w:pPr>
        <w:widowControl/>
        <w:spacing w:before="156" w:beforeLines="50" w:after="156" w:afterLines="50" w:line="520" w:lineRule="exact"/>
        <w:ind w:firstLine="562" w:firstLineChars="200"/>
        <w:jc w:val="left"/>
        <w:outlineLvl w:val="1"/>
        <w:rPr>
          <w:rFonts w:ascii="Times New Roman" w:hAnsi="Times New Roman" w:eastAsia="仿宋_GB2312"/>
          <w:b/>
          <w:bCs/>
          <w:color w:val="000000"/>
          <w:kern w:val="0"/>
          <w:sz w:val="28"/>
          <w:szCs w:val="28"/>
          <w:lang w:bidi="ar"/>
        </w:rPr>
      </w:pPr>
      <w:r>
        <w:rPr>
          <w:rFonts w:hint="eastAsia" w:ascii="Times New Roman" w:hAnsi="Times New Roman" w:eastAsia="仿宋_GB2312"/>
          <w:b/>
          <w:bCs/>
          <w:color w:val="000000"/>
          <w:kern w:val="0"/>
          <w:sz w:val="28"/>
          <w:szCs w:val="28"/>
          <w:lang w:eastAsia="zh-CN" w:bidi="ar"/>
        </w:rPr>
        <w:t>（</w:t>
      </w:r>
      <w:r>
        <w:rPr>
          <w:rFonts w:hint="eastAsia" w:ascii="Times New Roman" w:hAnsi="Times New Roman" w:eastAsia="仿宋_GB2312"/>
          <w:b/>
          <w:bCs/>
          <w:color w:val="000000"/>
          <w:kern w:val="0"/>
          <w:sz w:val="28"/>
          <w:szCs w:val="28"/>
          <w:lang w:val="en-US" w:eastAsia="zh-CN" w:bidi="ar"/>
        </w:rPr>
        <w:t>三</w:t>
      </w:r>
      <w:r>
        <w:rPr>
          <w:rFonts w:hint="eastAsia" w:ascii="Times New Roman" w:hAnsi="Times New Roman" w:eastAsia="仿宋_GB2312"/>
          <w:b/>
          <w:bCs/>
          <w:color w:val="000000"/>
          <w:kern w:val="0"/>
          <w:sz w:val="28"/>
          <w:szCs w:val="28"/>
          <w:lang w:eastAsia="zh-CN" w:bidi="ar"/>
        </w:rPr>
        <w:t>）</w:t>
      </w:r>
      <w:r>
        <w:rPr>
          <w:rFonts w:hint="eastAsia" w:ascii="Times New Roman" w:hAnsi="Times New Roman" w:eastAsia="仿宋_GB2312"/>
          <w:b/>
          <w:bCs/>
          <w:color w:val="000000"/>
          <w:kern w:val="0"/>
          <w:sz w:val="28"/>
          <w:szCs w:val="28"/>
          <w:lang w:bidi="ar"/>
        </w:rPr>
        <w:t>融合临床教育与传统中医药文化</w:t>
      </w:r>
    </w:p>
    <w:p w14:paraId="0742D409">
      <w:pPr>
        <w:widowControl/>
        <w:spacing w:line="520" w:lineRule="exact"/>
        <w:ind w:firstLine="560" w:firstLineChars="200"/>
        <w:jc w:val="left"/>
        <w:outlineLvl w:val="2"/>
        <w:rPr>
          <w:rFonts w:hint="eastAsia" w:ascii="Times New Roman" w:hAnsi="Times New Roman" w:eastAsia="仿宋_GB2312"/>
          <w:sz w:val="28"/>
          <w:szCs w:val="28"/>
        </w:rPr>
      </w:pPr>
      <w:r>
        <w:rPr>
          <w:rFonts w:hint="eastAsia" w:ascii="Times New Roman" w:hAnsi="Times New Roman" w:eastAsia="仿宋_GB2312"/>
          <w:sz w:val="28"/>
          <w:szCs w:val="28"/>
        </w:rPr>
        <w:t>在临床医学教育中，应注重中医药文化的传承与现代医学的有机结合，探索建立融合中医辨证论治与现代医学诊疗体系的课程体系。通过改革教学内容和方法，既保留中医的个体化诊疗理念，又加强西医标准化治疗的实际应用，逐步形成具有特色的中西医结合教学模式。同时，开展教师培训，提升教师对中医药文化的理解与应用能力，确保中医药传统智慧在现代医学教育中的有效传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国标仿宋-GB/T 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96C69"/>
    <w:multiLevelType w:val="singleLevel"/>
    <w:tmpl w:val="54496C69"/>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3Yjg5ZmQ4MDg5YWMzNzVjNmZmOThhNTJiOTk4NTcifQ=="/>
  </w:docVars>
  <w:rsids>
    <w:rsidRoot w:val="006F4701"/>
    <w:rsid w:val="00093D67"/>
    <w:rsid w:val="000A37AB"/>
    <w:rsid w:val="000B4F7F"/>
    <w:rsid w:val="000F1E83"/>
    <w:rsid w:val="00117445"/>
    <w:rsid w:val="0017001C"/>
    <w:rsid w:val="00196D1F"/>
    <w:rsid w:val="001D45F6"/>
    <w:rsid w:val="001D49E1"/>
    <w:rsid w:val="003F298A"/>
    <w:rsid w:val="00401774"/>
    <w:rsid w:val="00426641"/>
    <w:rsid w:val="00446181"/>
    <w:rsid w:val="00447AE1"/>
    <w:rsid w:val="004818DE"/>
    <w:rsid w:val="004A2E19"/>
    <w:rsid w:val="00531670"/>
    <w:rsid w:val="0059482B"/>
    <w:rsid w:val="00627F1E"/>
    <w:rsid w:val="00674A0A"/>
    <w:rsid w:val="006B72A7"/>
    <w:rsid w:val="006C2C16"/>
    <w:rsid w:val="006F4701"/>
    <w:rsid w:val="00716ECB"/>
    <w:rsid w:val="007C2807"/>
    <w:rsid w:val="008A4A7B"/>
    <w:rsid w:val="008E69F7"/>
    <w:rsid w:val="009019D7"/>
    <w:rsid w:val="009C4CC3"/>
    <w:rsid w:val="00A70BD6"/>
    <w:rsid w:val="00B06A77"/>
    <w:rsid w:val="00B06F19"/>
    <w:rsid w:val="00BD7038"/>
    <w:rsid w:val="00C71A08"/>
    <w:rsid w:val="00CA659A"/>
    <w:rsid w:val="00CB7EED"/>
    <w:rsid w:val="00CC43A6"/>
    <w:rsid w:val="00CE32AD"/>
    <w:rsid w:val="00CF3DE3"/>
    <w:rsid w:val="00D24967"/>
    <w:rsid w:val="00D61475"/>
    <w:rsid w:val="00DD408B"/>
    <w:rsid w:val="00DD724B"/>
    <w:rsid w:val="00DF3E5C"/>
    <w:rsid w:val="00F449EB"/>
    <w:rsid w:val="00F57F9A"/>
    <w:rsid w:val="00F71EA2"/>
    <w:rsid w:val="01635C49"/>
    <w:rsid w:val="03337D90"/>
    <w:rsid w:val="052E5BDA"/>
    <w:rsid w:val="05580C31"/>
    <w:rsid w:val="056930A9"/>
    <w:rsid w:val="05A86320"/>
    <w:rsid w:val="06D77F8F"/>
    <w:rsid w:val="07F0609A"/>
    <w:rsid w:val="08161127"/>
    <w:rsid w:val="08831E67"/>
    <w:rsid w:val="0B617938"/>
    <w:rsid w:val="0C0D15D3"/>
    <w:rsid w:val="0C177D5B"/>
    <w:rsid w:val="0D8A27C9"/>
    <w:rsid w:val="0DA6012B"/>
    <w:rsid w:val="0DAE1270"/>
    <w:rsid w:val="0E4B1732"/>
    <w:rsid w:val="0E7A088F"/>
    <w:rsid w:val="0F07677D"/>
    <w:rsid w:val="11125658"/>
    <w:rsid w:val="12994089"/>
    <w:rsid w:val="137F2067"/>
    <w:rsid w:val="169E2B0A"/>
    <w:rsid w:val="17E449EF"/>
    <w:rsid w:val="1B9F29F1"/>
    <w:rsid w:val="1C6167DE"/>
    <w:rsid w:val="1DDB19A1"/>
    <w:rsid w:val="1FBB15E1"/>
    <w:rsid w:val="20FD17BE"/>
    <w:rsid w:val="23391A24"/>
    <w:rsid w:val="249C2BBB"/>
    <w:rsid w:val="26B2598E"/>
    <w:rsid w:val="26F33D6B"/>
    <w:rsid w:val="27390CB9"/>
    <w:rsid w:val="27391883"/>
    <w:rsid w:val="279F5AA6"/>
    <w:rsid w:val="28EF0F00"/>
    <w:rsid w:val="29425DDC"/>
    <w:rsid w:val="29A869C6"/>
    <w:rsid w:val="2D2307FE"/>
    <w:rsid w:val="2E755BFA"/>
    <w:rsid w:val="3056518D"/>
    <w:rsid w:val="36FF6DC0"/>
    <w:rsid w:val="389B2048"/>
    <w:rsid w:val="39C80763"/>
    <w:rsid w:val="3AC151B3"/>
    <w:rsid w:val="3C8F2D11"/>
    <w:rsid w:val="3D692A49"/>
    <w:rsid w:val="3E502AD5"/>
    <w:rsid w:val="400F301F"/>
    <w:rsid w:val="411C109A"/>
    <w:rsid w:val="421A05DA"/>
    <w:rsid w:val="4285286A"/>
    <w:rsid w:val="43D4537F"/>
    <w:rsid w:val="44182E08"/>
    <w:rsid w:val="44D37F54"/>
    <w:rsid w:val="471E07C4"/>
    <w:rsid w:val="48DC313D"/>
    <w:rsid w:val="495518E8"/>
    <w:rsid w:val="4C4F1021"/>
    <w:rsid w:val="51815B1E"/>
    <w:rsid w:val="554E6A7A"/>
    <w:rsid w:val="55E24713"/>
    <w:rsid w:val="5788755E"/>
    <w:rsid w:val="5BC31F35"/>
    <w:rsid w:val="5BCF4A13"/>
    <w:rsid w:val="64E15F7F"/>
    <w:rsid w:val="66713F67"/>
    <w:rsid w:val="6B582046"/>
    <w:rsid w:val="6BCE3108"/>
    <w:rsid w:val="6C576F54"/>
    <w:rsid w:val="6F7546B9"/>
    <w:rsid w:val="70CE6536"/>
    <w:rsid w:val="717B657E"/>
    <w:rsid w:val="7216608A"/>
    <w:rsid w:val="72414668"/>
    <w:rsid w:val="72A805BE"/>
    <w:rsid w:val="72EFF908"/>
    <w:rsid w:val="75B774F0"/>
    <w:rsid w:val="77B17E36"/>
    <w:rsid w:val="77DD45EA"/>
    <w:rsid w:val="786E33CC"/>
    <w:rsid w:val="790E2D96"/>
    <w:rsid w:val="796C7167"/>
    <w:rsid w:val="79BA4CCB"/>
    <w:rsid w:val="79D044EF"/>
    <w:rsid w:val="7B6D1B0B"/>
    <w:rsid w:val="7E87498B"/>
    <w:rsid w:val="7EDF6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bCs/>
      <w:kern w:val="44"/>
      <w:sz w:val="48"/>
      <w:szCs w:val="48"/>
    </w:rPr>
  </w:style>
  <w:style w:type="paragraph" w:styleId="4">
    <w:name w:val="heading 2"/>
    <w:basedOn w:val="1"/>
    <w:next w:val="1"/>
    <w:qFormat/>
    <w:uiPriority w:val="9"/>
    <w:pPr>
      <w:keepNext/>
      <w:keepLines/>
      <w:adjustRightInd w:val="0"/>
      <w:snapToGrid w:val="0"/>
      <w:spacing w:before="50" w:beforeLines="50" w:after="50" w:afterLines="50"/>
      <w:ind w:firstLine="200" w:firstLineChars="200"/>
      <w:outlineLvl w:val="1"/>
    </w:pPr>
    <w:rPr>
      <w:rFonts w:ascii="等线 Light" w:hAnsi="等线 Light" w:eastAsia="黑体"/>
      <w:bCs/>
      <w:sz w:val="32"/>
      <w:szCs w:val="32"/>
    </w:rPr>
  </w:style>
  <w:style w:type="paragraph" w:styleId="2">
    <w:name w:val="heading 3"/>
    <w:basedOn w:val="1"/>
    <w:next w:val="1"/>
    <w:qFormat/>
    <w:uiPriority w:val="9"/>
    <w:pPr>
      <w:keepNext/>
      <w:keepLines/>
      <w:spacing w:before="50" w:beforeLines="50" w:after="50" w:afterLines="50"/>
      <w:outlineLvl w:val="2"/>
    </w:pPr>
    <w:rPr>
      <w:rFonts w:eastAsia="方正仿宋简体"/>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spacing w:line="600" w:lineRule="exact"/>
      <w:ind w:firstLine="883" w:firstLineChars="200"/>
    </w:pPr>
    <w:rPr>
      <w:rFonts w:ascii="Calibri" w:hAnsi="Calibri" w:eastAsia="仿宋"/>
      <w:sz w:val="30"/>
    </w:rPr>
  </w:style>
  <w:style w:type="paragraph" w:styleId="6">
    <w:name w:val="Balloon Text"/>
    <w:basedOn w:val="1"/>
    <w:link w:val="14"/>
    <w:qFormat/>
    <w:uiPriority w:val="0"/>
    <w:rPr>
      <w:sz w:val="18"/>
      <w:szCs w:val="18"/>
    </w:rPr>
  </w:style>
  <w:style w:type="paragraph" w:styleId="7">
    <w:name w:val="footer"/>
    <w:basedOn w:val="1"/>
    <w:next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Hyperlink"/>
    <w:basedOn w:val="11"/>
    <w:unhideWhenUsed/>
    <w:qFormat/>
    <w:uiPriority w:val="99"/>
    <w:rPr>
      <w:color w:val="0000FF"/>
      <w:u w:val="single"/>
    </w:rPr>
  </w:style>
  <w:style w:type="character" w:styleId="13">
    <w:name w:val="annotation reference"/>
    <w:basedOn w:val="11"/>
    <w:qFormat/>
    <w:uiPriority w:val="0"/>
    <w:rPr>
      <w:sz w:val="21"/>
      <w:szCs w:val="21"/>
    </w:rPr>
  </w:style>
  <w:style w:type="character" w:customStyle="1" w:styleId="14">
    <w:name w:val="批注框文本 字符"/>
    <w:basedOn w:val="11"/>
    <w:link w:val="6"/>
    <w:qFormat/>
    <w:uiPriority w:val="0"/>
    <w:rPr>
      <w:rFonts w:ascii="等线" w:hAnsi="等线" w:eastAsia="等线"/>
      <w:kern w:val="2"/>
      <w:sz w:val="18"/>
      <w:szCs w:val="18"/>
    </w:rPr>
  </w:style>
  <w:style w:type="character" w:customStyle="1" w:styleId="15">
    <w:name w:val="font11"/>
    <w:basedOn w:val="11"/>
    <w:qFormat/>
    <w:uiPriority w:val="0"/>
    <w:rPr>
      <w:rFonts w:hint="eastAsia" w:ascii="仿宋" w:hAnsi="仿宋" w:eastAsia="仿宋" w:cs="仿宋"/>
      <w:color w:val="000000"/>
      <w:sz w:val="24"/>
      <w:szCs w:val="24"/>
      <w:u w:val="none"/>
    </w:rPr>
  </w:style>
  <w:style w:type="character" w:customStyle="1" w:styleId="16">
    <w:name w:val="font21"/>
    <w:basedOn w:val="11"/>
    <w:qFormat/>
    <w:uiPriority w:val="0"/>
    <w:rPr>
      <w:rFonts w:hint="eastAsia" w:ascii="仿宋" w:hAnsi="仿宋" w:eastAsia="仿宋" w:cs="仿宋"/>
      <w:color w:val="000000"/>
      <w:sz w:val="24"/>
      <w:szCs w:val="24"/>
      <w:u w:val="none"/>
    </w:rPr>
  </w:style>
  <w:style w:type="character" w:customStyle="1" w:styleId="17">
    <w:name w:val="font31"/>
    <w:basedOn w:val="11"/>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3297</Words>
  <Characters>3456</Characters>
  <Lines>122</Lines>
  <Paragraphs>34</Paragraphs>
  <TotalTime>13</TotalTime>
  <ScaleCrop>false</ScaleCrop>
  <LinksUpToDate>false</LinksUpToDate>
  <CharactersWithSpaces>3493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cp:lastModifiedBy>
  <dcterms:modified xsi:type="dcterms:W3CDTF">2025-03-28T02:35:37Z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916CF15FCBA34B8EA2C14982185DD365_12</vt:lpwstr>
  </property>
  <property fmtid="{D5CDD505-2E9C-101B-9397-08002B2CF9AE}" pid="4" name="KSOTemplateDocerSaveRecord">
    <vt:lpwstr>eyJoZGlkIjoiMzNiMTBiYThhNWVmNjliN2EzNTg1YTZiMzNiY2RmNTUiLCJ1c2VySWQiOiIyNDQ2OTg5MTYifQ==</vt:lpwstr>
  </property>
</Properties>
</file>