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C74600">
      <w:pPr>
        <w:spacing w:after="156" w:afterLines="50" w:line="560" w:lineRule="exact"/>
        <w:rPr>
          <w:rFonts w:hint="eastAsia" w:ascii="仿宋" w:hAnsi="仿宋" w:eastAsia="仿宋" w:cs="仿宋"/>
          <w:b/>
          <w:color w:val="000000"/>
          <w:sz w:val="28"/>
          <w:szCs w:val="28"/>
        </w:rPr>
      </w:pPr>
    </w:p>
    <w:p w14:paraId="6EB67DF1">
      <w:pPr>
        <w:spacing w:after="156" w:afterLines="50" w:line="560" w:lineRule="exact"/>
        <w:jc w:val="both"/>
        <w:rPr>
          <w:rFonts w:hint="eastAsia" w:ascii="仿宋" w:hAnsi="仿宋" w:eastAsia="仿宋" w:cs="仿宋"/>
          <w:b/>
          <w:color w:val="000000"/>
          <w:sz w:val="44"/>
          <w:szCs w:val="44"/>
        </w:rPr>
      </w:pPr>
    </w:p>
    <w:p w14:paraId="1D0B63E5">
      <w:pPr>
        <w:spacing w:after="156" w:afterLines="50" w:line="560" w:lineRule="exact"/>
        <w:jc w:val="center"/>
        <w:rPr>
          <w:rFonts w:hint="eastAsia" w:ascii="仿宋" w:hAnsi="仿宋" w:eastAsia="仿宋" w:cs="仿宋"/>
          <w:b/>
          <w:color w:val="000000"/>
          <w:sz w:val="52"/>
          <w:szCs w:val="52"/>
        </w:rPr>
      </w:pPr>
    </w:p>
    <w:p w14:paraId="21F5583E">
      <w:pPr>
        <w:spacing w:after="156" w:afterLines="50" w:line="560" w:lineRule="exact"/>
        <w:jc w:val="center"/>
        <w:rPr>
          <w:rFonts w:ascii="Times New Roman" w:hAnsi="Times New Roman" w:eastAsia="方正小标宋简体"/>
          <w:b/>
          <w:sz w:val="52"/>
          <w:szCs w:val="52"/>
        </w:rPr>
      </w:pPr>
      <w:r>
        <w:rPr>
          <w:rFonts w:ascii="Times New Roman" w:hAnsi="Times New Roman" w:eastAsia="方正小标宋简体"/>
          <w:b/>
          <w:sz w:val="52"/>
          <w:szCs w:val="52"/>
        </w:rPr>
        <w:t>学位授权点</w:t>
      </w:r>
      <w:r>
        <w:rPr>
          <w:rFonts w:hint="eastAsia" w:ascii="Times New Roman" w:hAnsi="Times New Roman" w:eastAsia="方正小标宋简体"/>
          <w:b/>
          <w:sz w:val="52"/>
          <w:szCs w:val="52"/>
        </w:rPr>
        <w:t>建设年度</w:t>
      </w:r>
      <w:r>
        <w:rPr>
          <w:rFonts w:ascii="Times New Roman" w:hAnsi="Times New Roman" w:eastAsia="方正小标宋简体"/>
          <w:b/>
          <w:sz w:val="52"/>
          <w:szCs w:val="52"/>
        </w:rPr>
        <w:t>报告</w:t>
      </w:r>
    </w:p>
    <w:p w14:paraId="50F5619C">
      <w:pPr>
        <w:spacing w:after="156" w:afterLines="50" w:line="560" w:lineRule="exact"/>
        <w:jc w:val="center"/>
        <w:rPr>
          <w:rFonts w:ascii="Times New Roman" w:hAnsi="Times New Roman" w:eastAsia="方正小标宋简体"/>
          <w:b/>
          <w:sz w:val="44"/>
          <w:szCs w:val="44"/>
        </w:rPr>
      </w:pPr>
      <w:r>
        <w:rPr>
          <w:rFonts w:hint="eastAsia" w:ascii="Times New Roman" w:hAnsi="Times New Roman" w:eastAsia="方正小标宋简体"/>
          <w:b/>
          <w:sz w:val="44"/>
          <w:szCs w:val="44"/>
        </w:rPr>
        <w:t>（2</w:t>
      </w:r>
      <w:r>
        <w:rPr>
          <w:rFonts w:ascii="Times New Roman" w:hAnsi="Times New Roman" w:eastAsia="方正小标宋简体"/>
          <w:b/>
          <w:sz w:val="44"/>
          <w:szCs w:val="44"/>
        </w:rPr>
        <w:t>0</w:t>
      </w:r>
      <w:r>
        <w:rPr>
          <w:rFonts w:hint="eastAsia" w:ascii="Times New Roman" w:hAnsi="Times New Roman" w:eastAsia="方正小标宋简体"/>
          <w:b/>
          <w:sz w:val="44"/>
          <w:szCs w:val="44"/>
          <w:lang w:val="en-US" w:eastAsia="zh-CN"/>
        </w:rPr>
        <w:t>20</w:t>
      </w:r>
      <w:r>
        <w:rPr>
          <w:rFonts w:hint="eastAsia" w:ascii="Times New Roman" w:hAnsi="Times New Roman" w:eastAsia="方正小标宋简体"/>
          <w:b/>
          <w:sz w:val="44"/>
          <w:szCs w:val="44"/>
        </w:rPr>
        <w:t>年）</w:t>
      </w:r>
    </w:p>
    <w:p w14:paraId="70E55DA0">
      <w:pPr>
        <w:spacing w:after="156" w:afterLines="50" w:line="560" w:lineRule="exact"/>
        <w:jc w:val="center"/>
        <w:rPr>
          <w:rFonts w:ascii="Times New Roman" w:hAnsi="Times New Roman" w:eastAsia="方正小标宋简体"/>
          <w:b/>
          <w:color w:val="000000"/>
          <w:sz w:val="44"/>
          <w:szCs w:val="44"/>
        </w:rPr>
      </w:pPr>
    </w:p>
    <w:p w14:paraId="2029B0DB">
      <w:pPr>
        <w:spacing w:after="156" w:afterLines="50" w:line="560" w:lineRule="exact"/>
        <w:rPr>
          <w:rFonts w:ascii="Times New Roman" w:hAnsi="Times New Roman" w:eastAsia="方正小标宋简体"/>
          <w:b/>
          <w:color w:val="000000"/>
          <w:sz w:val="44"/>
          <w:szCs w:val="44"/>
        </w:rPr>
      </w:pPr>
    </w:p>
    <w:p w14:paraId="1543E01C">
      <w:pPr>
        <w:spacing w:after="156" w:afterLines="50" w:line="560" w:lineRule="exact"/>
        <w:jc w:val="center"/>
        <w:rPr>
          <w:rFonts w:ascii="Times New Roman" w:hAnsi="Times New Roman" w:eastAsia="方正小标宋简体"/>
          <w:b/>
          <w:color w:val="000000"/>
          <w:sz w:val="44"/>
          <w:szCs w:val="44"/>
        </w:rPr>
      </w:pPr>
    </w:p>
    <w:tbl>
      <w:tblPr>
        <w:tblStyle w:val="9"/>
        <w:tblW w:w="5485" w:type="dxa"/>
        <w:tblInd w:w="1728"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160"/>
        <w:gridCol w:w="3325"/>
      </w:tblGrid>
      <w:tr w14:paraId="158CE982">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restart"/>
            <w:noWrap w:val="0"/>
            <w:vAlign w:val="center"/>
          </w:tcPr>
          <w:p w14:paraId="298C4FCD">
            <w:pPr>
              <w:spacing w:line="200" w:lineRule="atLeast"/>
              <w:jc w:val="distribute"/>
              <w:rPr>
                <w:rFonts w:ascii="Times New Roman" w:hAnsi="Times New Roman" w:eastAsia="楷体_GB2312"/>
                <w:b/>
                <w:color w:val="000000"/>
                <w:kern w:val="0"/>
                <w:sz w:val="30"/>
                <w:szCs w:val="30"/>
              </w:rPr>
            </w:pPr>
            <w:r>
              <w:rPr>
                <w:rFonts w:ascii="Times New Roman" w:hAnsi="Times New Roman" w:eastAsia="楷体_GB2312"/>
                <w:b/>
                <w:color w:val="000000"/>
                <w:kern w:val="0"/>
                <w:sz w:val="30"/>
                <w:szCs w:val="30"/>
              </w:rPr>
              <w:t>学位授予单位</w:t>
            </w:r>
          </w:p>
        </w:tc>
        <w:tc>
          <w:tcPr>
            <w:tcW w:w="3325" w:type="dxa"/>
            <w:tcBorders>
              <w:bottom w:val="single" w:color="auto" w:sz="4" w:space="0"/>
            </w:tcBorders>
            <w:noWrap w:val="0"/>
            <w:vAlign w:val="center"/>
          </w:tcPr>
          <w:p w14:paraId="2B27A35F">
            <w:pPr>
              <w:rPr>
                <w:rFonts w:hint="eastAsia" w:ascii="Times New Roman" w:hAnsi="Times New Roman" w:eastAsia="楷体_GB2312"/>
                <w:b/>
                <w:color w:val="000000"/>
                <w:kern w:val="0"/>
                <w:sz w:val="30"/>
                <w:szCs w:val="30"/>
                <w:lang w:val="en-US" w:eastAsia="zh-CN"/>
              </w:rPr>
            </w:pPr>
            <w:r>
              <w:rPr>
                <w:rFonts w:ascii="Times New Roman" w:hAnsi="Times New Roman" w:eastAsia="楷体_GB2312"/>
                <w:b/>
                <w:color w:val="000000"/>
                <w:kern w:val="0"/>
                <w:sz w:val="30"/>
                <w:szCs w:val="30"/>
              </w:rPr>
              <w:t>名称：</w:t>
            </w:r>
            <w:r>
              <w:rPr>
                <w:rFonts w:hint="eastAsia" w:ascii="Times New Roman" w:hAnsi="Times New Roman" w:eastAsia="楷体_GB2312"/>
                <w:b/>
                <w:color w:val="000000"/>
                <w:kern w:val="0"/>
                <w:sz w:val="30"/>
                <w:szCs w:val="30"/>
                <w:lang w:val="en-US" w:eastAsia="zh-CN"/>
              </w:rPr>
              <w:t>河南中医药大学</w:t>
            </w:r>
          </w:p>
        </w:tc>
      </w:tr>
      <w:tr w14:paraId="0A7CB330">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continue"/>
            <w:noWrap w:val="0"/>
            <w:vAlign w:val="top"/>
          </w:tcPr>
          <w:p w14:paraId="3803E3C9">
            <w:pPr>
              <w:jc w:val="center"/>
              <w:rPr>
                <w:rFonts w:ascii="Times New Roman" w:hAnsi="Times New Roman" w:eastAsia="楷体_GB2312"/>
                <w:b/>
                <w:color w:val="000000"/>
                <w:kern w:val="0"/>
                <w:sz w:val="30"/>
                <w:szCs w:val="30"/>
              </w:rPr>
            </w:pPr>
          </w:p>
        </w:tc>
        <w:tc>
          <w:tcPr>
            <w:tcW w:w="3325" w:type="dxa"/>
            <w:tcBorders>
              <w:top w:val="single" w:color="auto" w:sz="4" w:space="0"/>
            </w:tcBorders>
            <w:noWrap w:val="0"/>
            <w:vAlign w:val="center"/>
          </w:tcPr>
          <w:p w14:paraId="0E5A0DBB">
            <w:pPr>
              <w:rPr>
                <w:rFonts w:hint="default" w:ascii="Times New Roman" w:hAnsi="Times New Roman" w:eastAsia="楷体_GB2312"/>
                <w:b/>
                <w:color w:val="000000"/>
                <w:kern w:val="0"/>
                <w:sz w:val="30"/>
                <w:szCs w:val="30"/>
                <w:lang w:val="en-US" w:eastAsia="zh-CN"/>
              </w:rPr>
            </w:pPr>
            <w:r>
              <w:rPr>
                <w:rFonts w:ascii="Times New Roman" w:hAnsi="Times New Roman" w:eastAsia="楷体_GB2312"/>
                <w:b/>
                <w:color w:val="000000"/>
                <w:kern w:val="0"/>
                <w:sz w:val="30"/>
                <w:szCs w:val="30"/>
              </w:rPr>
              <w:t>代码：</w:t>
            </w:r>
            <w:r>
              <w:rPr>
                <w:rFonts w:hint="eastAsia" w:ascii="Times New Roman" w:hAnsi="Times New Roman" w:eastAsia="楷体_GB2312"/>
                <w:b/>
                <w:color w:val="000000"/>
                <w:kern w:val="0"/>
                <w:sz w:val="30"/>
                <w:szCs w:val="30"/>
                <w:lang w:val="en-US" w:eastAsia="zh-CN"/>
              </w:rPr>
              <w:t xml:space="preserve">     10471</w:t>
            </w:r>
          </w:p>
        </w:tc>
      </w:tr>
    </w:tbl>
    <w:p w14:paraId="6670F227">
      <w:pPr>
        <w:spacing w:line="720" w:lineRule="auto"/>
        <w:jc w:val="center"/>
        <w:rPr>
          <w:rFonts w:ascii="Times New Roman" w:hAnsi="Times New Roman" w:eastAsia="楷体_GB2312"/>
          <w:b/>
          <w:color w:val="000000"/>
          <w:sz w:val="30"/>
          <w:szCs w:val="30"/>
        </w:rPr>
      </w:pPr>
    </w:p>
    <w:tbl>
      <w:tblPr>
        <w:tblStyle w:val="9"/>
        <w:tblW w:w="5485" w:type="dxa"/>
        <w:tblInd w:w="1728"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160"/>
        <w:gridCol w:w="3325"/>
      </w:tblGrid>
      <w:tr w14:paraId="32CDA00B">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restart"/>
            <w:noWrap w:val="0"/>
            <w:vAlign w:val="center"/>
          </w:tcPr>
          <w:p w14:paraId="79E10A84">
            <w:pPr>
              <w:jc w:val="distribute"/>
              <w:rPr>
                <w:rFonts w:ascii="Times New Roman" w:hAnsi="Times New Roman" w:eastAsia="楷体_GB2312"/>
                <w:b/>
                <w:color w:val="000000"/>
                <w:kern w:val="0"/>
                <w:sz w:val="30"/>
                <w:szCs w:val="30"/>
              </w:rPr>
            </w:pPr>
            <w:r>
              <w:rPr>
                <w:rFonts w:ascii="Times New Roman" w:hAnsi="Times New Roman" w:eastAsia="楷体_GB2312"/>
                <w:b/>
                <w:color w:val="000000"/>
                <w:kern w:val="0"/>
                <w:sz w:val="30"/>
                <w:szCs w:val="30"/>
              </w:rPr>
              <w:t>授权学科</w:t>
            </w:r>
          </w:p>
          <w:p w14:paraId="0B25038D">
            <w:pPr>
              <w:jc w:val="distribute"/>
              <w:rPr>
                <w:rFonts w:ascii="Times New Roman" w:hAnsi="Times New Roman" w:eastAsia="楷体_GB2312"/>
                <w:b/>
                <w:color w:val="000000"/>
                <w:kern w:val="0"/>
                <w:sz w:val="30"/>
                <w:szCs w:val="30"/>
              </w:rPr>
            </w:pPr>
            <w:r>
              <w:rPr>
                <w:rFonts w:ascii="Times New Roman" w:hAnsi="Times New Roman" w:eastAsia="楷体_GB2312"/>
                <w:b/>
                <w:color w:val="000000"/>
                <w:kern w:val="0"/>
                <w:sz w:val="30"/>
                <w:szCs w:val="30"/>
              </w:rPr>
              <w:t>（类别）</w:t>
            </w:r>
          </w:p>
        </w:tc>
        <w:tc>
          <w:tcPr>
            <w:tcW w:w="3325" w:type="dxa"/>
            <w:tcBorders>
              <w:bottom w:val="single" w:color="auto" w:sz="4" w:space="0"/>
            </w:tcBorders>
            <w:noWrap w:val="0"/>
            <w:vAlign w:val="center"/>
          </w:tcPr>
          <w:p w14:paraId="74C6F5FF">
            <w:pPr>
              <w:rPr>
                <w:rFonts w:hint="eastAsia" w:ascii="Times New Roman" w:hAnsi="Times New Roman" w:eastAsia="楷体_GB2312"/>
                <w:b/>
                <w:color w:val="000000"/>
                <w:kern w:val="0"/>
                <w:sz w:val="30"/>
                <w:szCs w:val="30"/>
                <w:lang w:val="en-US" w:eastAsia="zh-CN"/>
              </w:rPr>
            </w:pPr>
            <w:r>
              <w:rPr>
                <w:rFonts w:ascii="Times New Roman" w:hAnsi="Times New Roman" w:eastAsia="楷体_GB2312"/>
                <w:b/>
                <w:color w:val="000000"/>
                <w:kern w:val="0"/>
                <w:sz w:val="30"/>
                <w:szCs w:val="30"/>
              </w:rPr>
              <w:t>名称：</w:t>
            </w:r>
            <w:r>
              <w:rPr>
                <w:rFonts w:hint="eastAsia" w:ascii="Times New Roman" w:hAnsi="Times New Roman" w:eastAsia="楷体_GB2312"/>
                <w:b/>
                <w:color w:val="000000"/>
                <w:kern w:val="0"/>
                <w:sz w:val="30"/>
                <w:szCs w:val="30"/>
                <w:lang w:val="en-US" w:eastAsia="zh-CN"/>
              </w:rPr>
              <w:t xml:space="preserve">   中医学</w:t>
            </w:r>
          </w:p>
        </w:tc>
      </w:tr>
      <w:tr w14:paraId="1E5D0198">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continue"/>
            <w:noWrap w:val="0"/>
            <w:vAlign w:val="top"/>
          </w:tcPr>
          <w:p w14:paraId="3E65C865">
            <w:pPr>
              <w:jc w:val="center"/>
              <w:rPr>
                <w:rFonts w:ascii="Times New Roman" w:hAnsi="Times New Roman" w:eastAsia="楷体_GB2312"/>
                <w:b/>
                <w:color w:val="000000"/>
                <w:kern w:val="0"/>
                <w:sz w:val="30"/>
                <w:szCs w:val="30"/>
              </w:rPr>
            </w:pPr>
          </w:p>
        </w:tc>
        <w:tc>
          <w:tcPr>
            <w:tcW w:w="3325" w:type="dxa"/>
            <w:tcBorders>
              <w:top w:val="single" w:color="auto" w:sz="4" w:space="0"/>
            </w:tcBorders>
            <w:noWrap w:val="0"/>
            <w:vAlign w:val="center"/>
          </w:tcPr>
          <w:p w14:paraId="6A61DF4D">
            <w:pPr>
              <w:rPr>
                <w:rFonts w:hint="default" w:ascii="Times New Roman" w:hAnsi="Times New Roman" w:eastAsia="楷体_GB2312"/>
                <w:b/>
                <w:color w:val="000000"/>
                <w:kern w:val="0"/>
                <w:sz w:val="30"/>
                <w:szCs w:val="30"/>
                <w:lang w:val="en-US" w:eastAsia="zh-CN"/>
              </w:rPr>
            </w:pPr>
            <w:r>
              <w:rPr>
                <w:rFonts w:ascii="Times New Roman" w:hAnsi="Times New Roman" w:eastAsia="楷体_GB2312"/>
                <w:b/>
                <w:color w:val="000000"/>
                <w:kern w:val="0"/>
                <w:sz w:val="30"/>
                <w:szCs w:val="30"/>
              </w:rPr>
              <w:t>代码：</w:t>
            </w:r>
            <w:r>
              <w:rPr>
                <w:rFonts w:hint="eastAsia" w:ascii="Times New Roman" w:hAnsi="Times New Roman" w:eastAsia="楷体_GB2312"/>
                <w:b/>
                <w:color w:val="000000"/>
                <w:kern w:val="0"/>
                <w:sz w:val="30"/>
                <w:szCs w:val="30"/>
                <w:lang w:val="en-US" w:eastAsia="zh-CN"/>
              </w:rPr>
              <w:t xml:space="preserve">    1005</w:t>
            </w:r>
          </w:p>
        </w:tc>
      </w:tr>
    </w:tbl>
    <w:p w14:paraId="6029BD57">
      <w:pPr>
        <w:spacing w:line="720" w:lineRule="auto"/>
        <w:jc w:val="center"/>
        <w:rPr>
          <w:rFonts w:ascii="Times New Roman" w:hAnsi="Times New Roman" w:eastAsia="楷体_GB2312"/>
          <w:b/>
          <w:color w:val="000000"/>
          <w:sz w:val="30"/>
          <w:szCs w:val="30"/>
        </w:rPr>
      </w:pPr>
    </w:p>
    <w:tbl>
      <w:tblPr>
        <w:tblStyle w:val="9"/>
        <w:tblW w:w="5567" w:type="dxa"/>
        <w:tblInd w:w="1728" w:type="dxa"/>
        <w:tblBorders>
          <w:top w:val="none" w:color="auto" w:sz="0" w:space="0"/>
          <w:left w:val="none" w:color="auto" w:sz="0" w:space="0"/>
          <w:bottom w:val="none" w:color="auto" w:sz="0" w:space="0"/>
          <w:right w:val="none" w:color="auto" w:sz="0" w:space="0"/>
          <w:insideH w:val="none" w:color="auto" w:sz="0" w:space="0"/>
          <w:insideV w:val="single" w:color="auto" w:sz="4" w:space="0"/>
        </w:tblBorders>
        <w:tblLayout w:type="fixed"/>
        <w:tblCellMar>
          <w:top w:w="0" w:type="dxa"/>
          <w:left w:w="108" w:type="dxa"/>
          <w:bottom w:w="0" w:type="dxa"/>
          <w:right w:w="108" w:type="dxa"/>
        </w:tblCellMar>
      </w:tblPr>
      <w:tblGrid>
        <w:gridCol w:w="2160"/>
        <w:gridCol w:w="3407"/>
      </w:tblGrid>
      <w:tr w14:paraId="3DCB16AE">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restart"/>
            <w:noWrap w:val="0"/>
            <w:vAlign w:val="center"/>
          </w:tcPr>
          <w:p w14:paraId="0EAE5515">
            <w:pPr>
              <w:jc w:val="distribute"/>
              <w:rPr>
                <w:rFonts w:ascii="Times New Roman" w:hAnsi="Times New Roman" w:eastAsia="楷体_GB2312"/>
                <w:b/>
                <w:color w:val="000000"/>
                <w:kern w:val="0"/>
                <w:sz w:val="30"/>
                <w:szCs w:val="30"/>
              </w:rPr>
            </w:pPr>
            <w:r>
              <w:rPr>
                <w:rFonts w:ascii="Times New Roman" w:hAnsi="Times New Roman" w:eastAsia="楷体_GB2312"/>
                <w:b/>
                <w:color w:val="000000"/>
                <w:kern w:val="0"/>
                <w:sz w:val="30"/>
                <w:szCs w:val="30"/>
              </w:rPr>
              <w:t>授权级别</w:t>
            </w:r>
          </w:p>
        </w:tc>
        <w:tc>
          <w:tcPr>
            <w:tcW w:w="3407" w:type="dxa"/>
            <w:tcBorders>
              <w:bottom w:val="single" w:color="auto" w:sz="4" w:space="0"/>
            </w:tcBorders>
            <w:noWrap w:val="0"/>
            <w:vAlign w:val="center"/>
          </w:tcPr>
          <w:p w14:paraId="500A2CFD">
            <w:pPr>
              <w:rPr>
                <w:rFonts w:ascii="Times New Roman" w:hAnsi="Times New Roman" w:eastAsia="楷体_GB2312"/>
                <w:b/>
                <w:color w:val="000000"/>
                <w:kern w:val="0"/>
                <w:sz w:val="30"/>
                <w:szCs w:val="30"/>
              </w:rPr>
            </w:pPr>
            <w:r>
              <w:rPr>
                <w:rFonts w:hint="eastAsia" w:ascii="Times New Roman" w:hAnsi="Times New Roman" w:eastAsia="楷体_GB2312"/>
                <w:b/>
                <w:color w:val="000000"/>
                <w:kern w:val="0"/>
                <w:sz w:val="30"/>
                <w:szCs w:val="30"/>
                <w:lang w:eastAsia="zh-CN"/>
              </w:rPr>
              <w:t>☑</w:t>
            </w:r>
            <w:r>
              <w:rPr>
                <w:rFonts w:ascii="Times New Roman" w:hAnsi="Times New Roman" w:eastAsia="楷体_GB2312"/>
                <w:b/>
                <w:color w:val="000000"/>
                <w:kern w:val="0"/>
                <w:sz w:val="30"/>
                <w:szCs w:val="30"/>
              </w:rPr>
              <w:t xml:space="preserve">  </w:t>
            </w:r>
            <w:r>
              <w:rPr>
                <w:rFonts w:hint="eastAsia" w:ascii="Times New Roman" w:hAnsi="Times New Roman" w:eastAsia="楷体_GB2312"/>
                <w:b/>
                <w:color w:val="000000"/>
                <w:kern w:val="0"/>
                <w:sz w:val="30"/>
                <w:szCs w:val="30"/>
                <w:lang w:val="en-US" w:eastAsia="zh-CN"/>
              </w:rPr>
              <w:t xml:space="preserve">    </w:t>
            </w:r>
            <w:r>
              <w:rPr>
                <w:rFonts w:ascii="Times New Roman" w:hAnsi="Times New Roman" w:eastAsia="楷体_GB2312"/>
                <w:b/>
                <w:color w:val="000000"/>
                <w:kern w:val="0"/>
                <w:sz w:val="30"/>
                <w:szCs w:val="30"/>
              </w:rPr>
              <w:t>博  士</w:t>
            </w:r>
          </w:p>
        </w:tc>
      </w:tr>
      <w:tr w14:paraId="0E834B0A">
        <w:tblPrEx>
          <w:tblBorders>
            <w:top w:val="none" w:color="auto" w:sz="0" w:space="0"/>
            <w:left w:val="none" w:color="auto" w:sz="0" w:space="0"/>
            <w:bottom w:val="none" w:color="auto" w:sz="0" w:space="0"/>
            <w:right w:val="none" w:color="auto" w:sz="0" w:space="0"/>
            <w:insideH w:val="none" w:color="auto" w:sz="0" w:space="0"/>
            <w:insideV w:val="single" w:color="auto" w:sz="4" w:space="0"/>
          </w:tblBorders>
          <w:tblCellMar>
            <w:top w:w="0" w:type="dxa"/>
            <w:left w:w="108" w:type="dxa"/>
            <w:bottom w:w="0" w:type="dxa"/>
            <w:right w:w="108" w:type="dxa"/>
          </w:tblCellMar>
        </w:tblPrEx>
        <w:tc>
          <w:tcPr>
            <w:tcW w:w="2160" w:type="dxa"/>
            <w:vMerge w:val="continue"/>
            <w:noWrap w:val="0"/>
            <w:vAlign w:val="top"/>
          </w:tcPr>
          <w:p w14:paraId="4DB91E2D">
            <w:pPr>
              <w:jc w:val="center"/>
              <w:rPr>
                <w:rFonts w:ascii="Times New Roman" w:hAnsi="Times New Roman" w:eastAsia="楷体_GB2312"/>
                <w:b/>
                <w:color w:val="000000"/>
                <w:kern w:val="0"/>
                <w:sz w:val="30"/>
                <w:szCs w:val="30"/>
              </w:rPr>
            </w:pPr>
          </w:p>
        </w:tc>
        <w:tc>
          <w:tcPr>
            <w:tcW w:w="3407" w:type="dxa"/>
            <w:tcBorders>
              <w:top w:val="single" w:color="auto" w:sz="4" w:space="0"/>
            </w:tcBorders>
            <w:noWrap w:val="0"/>
            <w:vAlign w:val="center"/>
          </w:tcPr>
          <w:p w14:paraId="1EC7AFA4">
            <w:pPr>
              <w:rPr>
                <w:rFonts w:ascii="Times New Roman" w:hAnsi="Times New Roman" w:eastAsia="楷体_GB2312"/>
                <w:b/>
                <w:color w:val="000000"/>
                <w:kern w:val="0"/>
                <w:sz w:val="30"/>
                <w:szCs w:val="30"/>
              </w:rPr>
            </w:pPr>
            <w:r>
              <w:rPr>
                <w:rFonts w:ascii="Times New Roman" w:hAnsi="Times New Roman" w:eastAsia="楷体_GB2312"/>
                <w:b/>
                <w:color w:val="000000"/>
                <w:kern w:val="0"/>
                <w:sz w:val="30"/>
                <w:szCs w:val="30"/>
              </w:rPr>
              <w:t xml:space="preserve">□  </w:t>
            </w:r>
            <w:r>
              <w:rPr>
                <w:rFonts w:hint="eastAsia" w:ascii="Times New Roman" w:hAnsi="Times New Roman" w:eastAsia="楷体_GB2312"/>
                <w:b/>
                <w:color w:val="000000"/>
                <w:kern w:val="0"/>
                <w:sz w:val="30"/>
                <w:szCs w:val="30"/>
                <w:lang w:val="en-US" w:eastAsia="zh-CN"/>
              </w:rPr>
              <w:t xml:space="preserve">     </w:t>
            </w:r>
            <w:r>
              <w:rPr>
                <w:rFonts w:ascii="Times New Roman" w:hAnsi="Times New Roman" w:eastAsia="楷体_GB2312"/>
                <w:b/>
                <w:color w:val="000000"/>
                <w:kern w:val="0"/>
                <w:sz w:val="30"/>
                <w:szCs w:val="30"/>
              </w:rPr>
              <w:t>硕  士</w:t>
            </w:r>
          </w:p>
        </w:tc>
      </w:tr>
    </w:tbl>
    <w:p w14:paraId="10EA154A">
      <w:pPr>
        <w:rPr>
          <w:rFonts w:ascii="Times New Roman" w:hAnsi="Times New Roman" w:eastAsia="楷体_GB2312"/>
          <w:b/>
          <w:color w:val="000000"/>
          <w:sz w:val="30"/>
          <w:szCs w:val="30"/>
        </w:rPr>
      </w:pPr>
    </w:p>
    <w:p w14:paraId="67CA3F30">
      <w:pPr>
        <w:jc w:val="center"/>
        <w:rPr>
          <w:rFonts w:ascii="Times New Roman" w:hAnsi="Times New Roman" w:eastAsia="楷体_GB2312"/>
          <w:b/>
          <w:color w:val="000000"/>
          <w:sz w:val="30"/>
          <w:szCs w:val="30"/>
        </w:rPr>
      </w:pPr>
    </w:p>
    <w:p w14:paraId="4F4489EE">
      <w:pPr>
        <w:jc w:val="center"/>
        <w:rPr>
          <w:rFonts w:hint="default" w:ascii="仿宋" w:hAnsi="仿宋" w:eastAsia="楷体_GB2312" w:cs="仿宋"/>
          <w:b/>
          <w:color w:val="000000"/>
          <w:sz w:val="30"/>
          <w:szCs w:val="30"/>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start="10"/>
          <w:cols w:space="720" w:num="1"/>
          <w:docGrid w:type="lines" w:linePitch="312" w:charSpace="0"/>
        </w:sectPr>
      </w:pPr>
      <w:r>
        <w:rPr>
          <w:rFonts w:ascii="Times New Roman" w:hAnsi="Times New Roman" w:eastAsia="楷体_GB2312"/>
          <w:b/>
          <w:color w:val="000000"/>
          <w:sz w:val="30"/>
          <w:szCs w:val="30"/>
        </w:rPr>
        <w:t>20</w:t>
      </w:r>
      <w:r>
        <w:rPr>
          <w:rFonts w:hint="eastAsia" w:ascii="Times New Roman" w:hAnsi="Times New Roman" w:eastAsia="楷体_GB2312"/>
          <w:b/>
          <w:color w:val="000000"/>
          <w:sz w:val="30"/>
          <w:szCs w:val="30"/>
          <w:lang w:val="en-US" w:eastAsia="zh-CN"/>
        </w:rPr>
        <w:t xml:space="preserve">20 </w:t>
      </w:r>
      <w:r>
        <w:rPr>
          <w:rFonts w:ascii="Times New Roman" w:hAnsi="Times New Roman" w:eastAsia="楷体_GB2312"/>
          <w:b/>
          <w:color w:val="000000"/>
          <w:sz w:val="30"/>
          <w:szCs w:val="30"/>
        </w:rPr>
        <w:t xml:space="preserve">年 </w:t>
      </w:r>
      <w:r>
        <w:rPr>
          <w:rFonts w:hint="eastAsia" w:ascii="Times New Roman" w:hAnsi="Times New Roman" w:eastAsia="楷体_GB2312"/>
          <w:b/>
          <w:color w:val="000000"/>
          <w:sz w:val="30"/>
          <w:szCs w:val="30"/>
          <w:lang w:val="en-US" w:eastAsia="zh-CN"/>
        </w:rPr>
        <w:t xml:space="preserve">12 </w:t>
      </w:r>
      <w:r>
        <w:rPr>
          <w:rFonts w:ascii="Times New Roman" w:hAnsi="Times New Roman" w:eastAsia="楷体_GB2312"/>
          <w:b/>
          <w:color w:val="000000"/>
          <w:sz w:val="30"/>
          <w:szCs w:val="30"/>
        </w:rPr>
        <w:t>月</w:t>
      </w:r>
      <w:r>
        <w:rPr>
          <w:rFonts w:hint="eastAsia" w:ascii="Times New Roman" w:hAnsi="Times New Roman" w:eastAsia="楷体_GB2312"/>
          <w:b/>
          <w:color w:val="000000"/>
          <w:sz w:val="30"/>
          <w:szCs w:val="30"/>
          <w:lang w:val="en-US" w:eastAsia="zh-CN"/>
        </w:rPr>
        <w:t xml:space="preserve"> 30 日</w:t>
      </w:r>
    </w:p>
    <w:p w14:paraId="6A54D88A">
      <w:pPr>
        <w:spacing w:after="156" w:afterLines="50" w:line="560" w:lineRule="exact"/>
        <w:jc w:val="left"/>
        <w:rPr>
          <w:rFonts w:ascii="Times New Roman" w:hAnsi="Times New Roman" w:eastAsia="方正小标宋简体"/>
          <w:b/>
          <w:sz w:val="32"/>
          <w:szCs w:val="32"/>
        </w:rPr>
      </w:pPr>
      <w:bookmarkStart w:id="0" w:name="_Toc345572232"/>
      <w:r>
        <w:rPr>
          <w:rFonts w:hint="eastAsia" w:ascii="Times New Roman" w:hAnsi="Times New Roman" w:eastAsia="方正小标宋简体"/>
          <w:b/>
          <w:sz w:val="32"/>
          <w:szCs w:val="32"/>
        </w:rPr>
        <w:t>一、学位授权点基本情况</w:t>
      </w:r>
    </w:p>
    <w:p w14:paraId="1E91C8ED">
      <w:pPr>
        <w:spacing w:line="360" w:lineRule="auto"/>
        <w:ind w:firstLine="562" w:firstLineChars="200"/>
        <w:rPr>
          <w:rFonts w:hint="eastAsia" w:ascii="宋体" w:hAnsi="宋体" w:eastAsia="宋体" w:cs="仿宋"/>
          <w:sz w:val="28"/>
          <w:szCs w:val="28"/>
        </w:rPr>
      </w:pPr>
      <w:r>
        <w:rPr>
          <w:rFonts w:hint="eastAsia" w:ascii="宋体" w:hAnsi="宋体" w:eastAsia="宋体" w:cs="仿宋"/>
          <w:b/>
          <w:bCs/>
          <w:sz w:val="28"/>
          <w:szCs w:val="28"/>
        </w:rPr>
        <w:t>（一）学位授权点简介</w:t>
      </w:r>
    </w:p>
    <w:p w14:paraId="77B1077A">
      <w:pPr>
        <w:spacing w:line="240" w:lineRule="auto"/>
        <w:ind w:firstLine="560" w:firstLineChars="200"/>
        <w:rPr>
          <w:rFonts w:hint="eastAsia" w:ascii="宋体" w:hAnsi="宋体" w:eastAsia="宋体" w:cs="宋体"/>
          <w:color w:val="auto"/>
          <w:kern w:val="0"/>
          <w:sz w:val="28"/>
          <w:szCs w:val="28"/>
          <w:lang w:val="en-US" w:eastAsia="zh-CN" w:bidi="ar"/>
        </w:rPr>
      </w:pPr>
      <w:r>
        <w:rPr>
          <w:rFonts w:hint="eastAsia" w:ascii="宋体" w:hAnsi="宋体" w:eastAsia="宋体" w:cs="宋体"/>
          <w:bCs/>
          <w:color w:val="000000"/>
          <w:sz w:val="28"/>
          <w:szCs w:val="28"/>
        </w:rPr>
        <w:t>河南中医药大学中医学本科专业设立于1958年，1979年开始招收中医内科学、中医五官科学、针灸推拿学硕士研究生，1998年开始联合培养博士研究生，</w:t>
      </w:r>
      <w:r>
        <w:rPr>
          <w:rFonts w:hint="eastAsia" w:ascii="宋体" w:hAnsi="宋体" w:eastAsia="宋体" w:cs="宋体"/>
          <w:b w:val="0"/>
          <w:bCs/>
          <w:color w:val="000000"/>
          <w:sz w:val="28"/>
          <w:szCs w:val="28"/>
        </w:rPr>
        <w:t>2013年</w:t>
      </w:r>
      <w:r>
        <w:rPr>
          <w:rFonts w:hint="eastAsia" w:ascii="宋体" w:hAnsi="宋体" w:eastAsia="宋体" w:cs="宋体"/>
          <w:b w:val="0"/>
          <w:bCs/>
          <w:color w:val="000000"/>
          <w:sz w:val="28"/>
          <w:szCs w:val="28"/>
          <w:lang w:val="en-US" w:eastAsia="zh-CN"/>
        </w:rPr>
        <w:t>获</w:t>
      </w:r>
      <w:r>
        <w:rPr>
          <w:rFonts w:hint="eastAsia" w:ascii="宋体" w:hAnsi="宋体" w:eastAsia="宋体" w:cs="宋体"/>
          <w:b w:val="0"/>
          <w:bCs/>
          <w:color w:val="000000"/>
          <w:sz w:val="28"/>
          <w:szCs w:val="28"/>
        </w:rPr>
        <w:t>博士一级学科学位授权</w:t>
      </w:r>
      <w:r>
        <w:rPr>
          <w:rFonts w:hint="eastAsia" w:ascii="宋体" w:hAnsi="宋体" w:eastAsia="宋体" w:cs="宋体"/>
          <w:b w:val="0"/>
          <w:bCs/>
          <w:color w:val="000000"/>
          <w:sz w:val="28"/>
          <w:szCs w:val="28"/>
          <w:lang w:eastAsia="zh-CN"/>
        </w:rPr>
        <w:t>，</w:t>
      </w:r>
      <w:r>
        <w:rPr>
          <w:rFonts w:hint="eastAsia" w:ascii="宋体" w:hAnsi="宋体" w:eastAsia="宋体" w:cs="宋体"/>
          <w:b w:val="0"/>
          <w:bCs/>
          <w:color w:val="000000"/>
          <w:sz w:val="28"/>
          <w:szCs w:val="28"/>
          <w:lang w:val="en-US" w:eastAsia="zh-CN"/>
        </w:rPr>
        <w:t>涵盖14个二级学科。</w:t>
      </w:r>
      <w:bookmarkEnd w:id="0"/>
      <w:r>
        <w:rPr>
          <w:rFonts w:hint="eastAsia" w:ascii="宋体" w:hAnsi="宋体" w:eastAsia="宋体" w:cs="宋体"/>
          <w:bCs/>
          <w:color w:val="000000"/>
          <w:sz w:val="28"/>
          <w:szCs w:val="28"/>
        </w:rPr>
        <w:t>经过</w:t>
      </w:r>
      <w:r>
        <w:rPr>
          <w:rFonts w:hint="eastAsia" w:ascii="宋体" w:hAnsi="宋体" w:eastAsia="宋体" w:cs="宋体"/>
          <w:bCs/>
          <w:color w:val="000000"/>
          <w:sz w:val="28"/>
          <w:szCs w:val="28"/>
          <w:lang w:eastAsia="zh-CN"/>
        </w:rPr>
        <w:t>多</w:t>
      </w:r>
      <w:r>
        <w:rPr>
          <w:rFonts w:hint="eastAsia" w:ascii="宋体" w:hAnsi="宋体" w:eastAsia="宋体" w:cs="宋体"/>
          <w:bCs/>
          <w:color w:val="000000"/>
          <w:sz w:val="28"/>
          <w:szCs w:val="28"/>
        </w:rPr>
        <w:t>年建设，</w:t>
      </w:r>
      <w:r>
        <w:rPr>
          <w:rFonts w:hint="eastAsia" w:ascii="宋体" w:hAnsi="宋体" w:eastAsia="宋体" w:cs="宋体"/>
          <w:color w:val="000000"/>
          <w:kern w:val="0"/>
          <w:sz w:val="28"/>
          <w:szCs w:val="28"/>
          <w:lang w:val="en-US" w:eastAsia="zh-CN" w:bidi="ar"/>
        </w:rPr>
        <w:t>本学位点</w:t>
      </w:r>
      <w:r>
        <w:rPr>
          <w:rFonts w:hint="eastAsia" w:ascii="宋体" w:hAnsi="宋体" w:eastAsia="宋体" w:cs="宋体"/>
          <w:b w:val="0"/>
          <w:color w:val="auto"/>
          <w:kern w:val="2"/>
          <w:sz w:val="28"/>
          <w:szCs w:val="28"/>
          <w:lang w:val="en-US" w:eastAsia="zh-CN" w:bidi="ar-SA"/>
        </w:rPr>
        <w:t>国家中医临床研究基地 2 个，省部共建协同创新中心1个，省部级科研平台 20 个；国家区域专科诊疗中心6个，卫生部/国家中管局重点专科13个，河南省中管局重点专科16个，国家中医药管理局重点学科20个。</w:t>
      </w:r>
    </w:p>
    <w:p w14:paraId="08F5A82D">
      <w:pPr>
        <w:spacing w:line="240" w:lineRule="auto"/>
        <w:ind w:firstLine="560" w:firstLineChars="200"/>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lang w:val="en-US" w:eastAsia="zh-CN"/>
        </w:rPr>
        <w:t>学位点在2020年建设期间，共获批纵向科研课题288项（其中国家级项目15项），总经费2049.6万元；横向课题总经费1162.63万元；获各类科研奖励25项；以第一作者或通讯作者发表中文核心、SCI论文199篇；主编、副主编著作157部；各类型专利、软件著作权133项，转化总经费50万元。</w:t>
      </w:r>
    </w:p>
    <w:p w14:paraId="73463F54">
      <w:pPr>
        <w:spacing w:line="240" w:lineRule="auto"/>
        <w:ind w:firstLine="560" w:firstLineChars="200"/>
        <w:rPr>
          <w:rFonts w:hint="eastAsia" w:ascii="宋体" w:hAnsi="宋体" w:eastAsia="宋体" w:cs="宋体"/>
          <w:color w:val="auto"/>
          <w:sz w:val="28"/>
          <w:szCs w:val="28"/>
          <w:lang w:val="en-US" w:eastAsia="zh-CN"/>
        </w:rPr>
      </w:pPr>
      <w:r>
        <w:rPr>
          <w:rFonts w:hint="eastAsia" w:ascii="宋体" w:hAnsi="宋体" w:eastAsia="宋体" w:cs="宋体"/>
          <w:color w:val="000000" w:themeColor="text1"/>
          <w:kern w:val="2"/>
          <w:sz w:val="28"/>
          <w:szCs w:val="28"/>
          <w:lang w:val="en-US" w:eastAsia="zh-CN" w:bidi="ar-SA"/>
          <w14:textFill>
            <w14:solidFill>
              <w14:schemeClr w14:val="tx1"/>
            </w14:solidFill>
          </w14:textFill>
        </w:rPr>
        <w:t>在学校“人才兴校”战略方针指导下，学位点打造了一支由48名博导、189名硕导组成的导师团队。</w:t>
      </w:r>
      <w:r>
        <w:rPr>
          <w:rFonts w:hint="eastAsia" w:ascii="宋体" w:hAnsi="宋体" w:eastAsia="宋体" w:cs="宋体"/>
          <w:color w:val="auto"/>
          <w:sz w:val="28"/>
          <w:szCs w:val="28"/>
          <w:lang w:val="en-US" w:eastAsia="zh-CN"/>
        </w:rPr>
        <w:t>拥有国医大师1人，国家级人才计划入选者2人，岐黄学者及青年岐黄学者6人，全国优秀教师、教学名师及全国名中医6人。</w:t>
      </w:r>
    </w:p>
    <w:p w14:paraId="30F462F3">
      <w:pPr>
        <w:spacing w:line="360" w:lineRule="auto"/>
        <w:ind w:firstLine="562" w:firstLineChars="200"/>
        <w:rPr>
          <w:rFonts w:hint="eastAsia" w:ascii="宋体" w:hAnsi="宋体" w:eastAsia="宋体" w:cs="宋体"/>
          <w:b/>
          <w:bCs/>
          <w:color w:val="000000"/>
          <w:sz w:val="28"/>
          <w:szCs w:val="28"/>
          <w:lang w:val="en-US" w:eastAsia="zh-CN"/>
        </w:rPr>
      </w:pPr>
      <w:r>
        <w:rPr>
          <w:rFonts w:hint="eastAsia" w:ascii="宋体" w:hAnsi="宋体" w:eastAsia="宋体" w:cs="仿宋"/>
          <w:b/>
          <w:bCs/>
          <w:sz w:val="28"/>
          <w:szCs w:val="28"/>
        </w:rPr>
        <w:t>（二）培养目标和学位标准</w:t>
      </w:r>
    </w:p>
    <w:p w14:paraId="1DBA564D">
      <w:pPr>
        <w:spacing w:line="24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lang w:val="en-US" w:eastAsia="zh-CN"/>
        </w:rPr>
        <w:t>2.</w:t>
      </w:r>
      <w:r>
        <w:rPr>
          <w:rFonts w:hint="eastAsia" w:ascii="宋体" w:hAnsi="宋体" w:eastAsia="宋体" w:cs="宋体"/>
          <w:b/>
          <w:color w:val="000000"/>
          <w:sz w:val="28"/>
          <w:szCs w:val="28"/>
        </w:rPr>
        <w:t>1培养定位与目标</w:t>
      </w:r>
    </w:p>
    <w:p w14:paraId="076FA9CA">
      <w:pPr>
        <w:spacing w:line="240" w:lineRule="auto"/>
        <w:jc w:val="center"/>
        <w:rPr>
          <w:rFonts w:hint="eastAsia" w:ascii="宋体" w:hAnsi="宋体" w:eastAsia="宋体" w:cs="宋体"/>
          <w:b/>
          <w:bCs w:val="0"/>
          <w:color w:val="000000"/>
          <w:sz w:val="28"/>
          <w:szCs w:val="28"/>
          <w:lang w:val="en-US" w:eastAsia="zh-CN"/>
        </w:rPr>
      </w:pPr>
      <w:r>
        <w:rPr>
          <w:rFonts w:hint="eastAsia" w:ascii="宋体" w:hAnsi="宋体" w:eastAsia="宋体" w:cs="宋体"/>
          <w:b/>
          <w:bCs w:val="0"/>
          <w:color w:val="000000"/>
          <w:sz w:val="28"/>
          <w:szCs w:val="28"/>
          <w:lang w:val="en-US" w:eastAsia="zh-CN"/>
        </w:rPr>
        <w:drawing>
          <wp:inline distT="0" distB="0" distL="114300" distR="114300">
            <wp:extent cx="4042410" cy="3025775"/>
            <wp:effectExtent l="0" t="0" r="0" b="0"/>
            <wp:docPr id="6" name="图片 6" descr="图片内容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内容_09"/>
                    <pic:cNvPicPr>
                      <a:picLocks noChangeAspect="1"/>
                    </pic:cNvPicPr>
                  </pic:nvPicPr>
                  <pic:blipFill>
                    <a:blip r:embed="rId4"/>
                    <a:srcRect l="12440" t="7899" r="10824" b="51500"/>
                    <a:stretch>
                      <a:fillRect/>
                    </a:stretch>
                  </pic:blipFill>
                  <pic:spPr>
                    <a:xfrm>
                      <a:off x="0" y="0"/>
                      <a:ext cx="4042410" cy="3025775"/>
                    </a:xfrm>
                    <a:prstGeom prst="rect">
                      <a:avLst/>
                    </a:prstGeom>
                  </pic:spPr>
                </pic:pic>
              </a:graphicData>
            </a:graphic>
          </wp:inline>
        </w:drawing>
      </w:r>
    </w:p>
    <w:p w14:paraId="637F308F">
      <w:pPr>
        <w:spacing w:line="240" w:lineRule="auto"/>
        <w:ind w:firstLine="562" w:firstLineChars="200"/>
        <w:rPr>
          <w:rFonts w:hint="eastAsia" w:ascii="宋体" w:hAnsi="宋体" w:eastAsia="宋体" w:cs="宋体"/>
          <w:b/>
          <w:bCs w:val="0"/>
          <w:color w:val="000000"/>
          <w:sz w:val="28"/>
          <w:szCs w:val="28"/>
          <w:lang w:eastAsia="zh-CN"/>
        </w:rPr>
      </w:pPr>
      <w:r>
        <w:rPr>
          <w:rFonts w:hint="eastAsia" w:ascii="宋体" w:hAnsi="宋体" w:eastAsia="宋体" w:cs="宋体"/>
          <w:b/>
          <w:bCs w:val="0"/>
          <w:color w:val="000000"/>
          <w:sz w:val="28"/>
          <w:szCs w:val="28"/>
          <w:lang w:val="en-US" w:eastAsia="zh-CN"/>
        </w:rPr>
        <w:t>2.2</w:t>
      </w:r>
      <w:r>
        <w:rPr>
          <w:rFonts w:hint="eastAsia" w:ascii="宋体" w:hAnsi="宋体" w:eastAsia="宋体" w:cs="宋体"/>
          <w:b/>
          <w:bCs w:val="0"/>
          <w:color w:val="000000"/>
          <w:sz w:val="28"/>
          <w:szCs w:val="28"/>
        </w:rPr>
        <w:t>学位标准</w:t>
      </w:r>
    </w:p>
    <w:p w14:paraId="4C1C70A1">
      <w:pPr>
        <w:keepNext w:val="0"/>
        <w:keepLines w:val="0"/>
        <w:widowControl/>
        <w:suppressLineNumbers w:val="0"/>
        <w:spacing w:line="240" w:lineRule="auto"/>
        <w:ind w:firstLine="560" w:firstLineChars="200"/>
        <w:jc w:val="left"/>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t>学位点严格按照我校制定的《河南中医药大学学位授予工作实施细则》、《河南中医药大学关于申请博士、硕士学位人员发表学术论文的规定》等文件要求，课程考试成绩合格、并修满17学分,学位论文撰写符合我校要求、规范严谨，通过科研原始资料审核、学位论文检测、匿名评审及学位论文答辩等要求程序，发表符合我校要求的学术论文，可授予博士学位。</w:t>
      </w:r>
    </w:p>
    <w:p w14:paraId="7A7252BE">
      <w:pPr>
        <w:keepNext w:val="0"/>
        <w:keepLines w:val="0"/>
        <w:widowControl/>
        <w:suppressLineNumbers w:val="0"/>
        <w:spacing w:line="240" w:lineRule="auto"/>
        <w:jc w:val="center"/>
        <w:rPr>
          <w:rFonts w:hint="eastAsia" w:ascii="宋体" w:hAnsi="宋体" w:eastAsia="宋体" w:cs="宋体"/>
          <w:b w:val="0"/>
          <w:bCs/>
          <w:color w:val="000000"/>
          <w:sz w:val="28"/>
          <w:szCs w:val="28"/>
          <w:lang w:val="en-US" w:eastAsia="zh-CN"/>
        </w:rPr>
      </w:pPr>
      <w:r>
        <w:rPr>
          <w:rFonts w:hint="eastAsia" w:ascii="宋体" w:hAnsi="宋体" w:eastAsia="宋体" w:cs="宋体"/>
          <w:b w:val="0"/>
          <w:bCs/>
          <w:color w:val="000000"/>
          <w:sz w:val="28"/>
          <w:szCs w:val="28"/>
          <w:lang w:val="en-US" w:eastAsia="zh-CN"/>
        </w:rPr>
        <w:drawing>
          <wp:inline distT="0" distB="0" distL="114300" distR="114300">
            <wp:extent cx="4014470" cy="1859915"/>
            <wp:effectExtent l="0" t="0" r="5080" b="6985"/>
            <wp:docPr id="9" name="图片 2" descr="学术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学术论文"/>
                    <pic:cNvPicPr>
                      <a:picLocks noChangeAspect="1"/>
                    </pic:cNvPicPr>
                  </pic:nvPicPr>
                  <pic:blipFill>
                    <a:blip r:embed="rId5"/>
                    <a:srcRect l="12308" t="7788" r="9764" b="66692"/>
                    <a:stretch>
                      <a:fillRect/>
                    </a:stretch>
                  </pic:blipFill>
                  <pic:spPr>
                    <a:xfrm>
                      <a:off x="0" y="0"/>
                      <a:ext cx="4014470" cy="1859915"/>
                    </a:xfrm>
                    <a:prstGeom prst="rect">
                      <a:avLst/>
                    </a:prstGeom>
                    <a:noFill/>
                    <a:ln>
                      <a:noFill/>
                    </a:ln>
                  </pic:spPr>
                </pic:pic>
              </a:graphicData>
            </a:graphic>
          </wp:inline>
        </w:drawing>
      </w:r>
    </w:p>
    <w:p w14:paraId="5236F6FC">
      <w:pPr>
        <w:spacing w:line="240" w:lineRule="auto"/>
        <w:ind w:firstLine="562" w:firstLineChars="200"/>
        <w:jc w:val="left"/>
        <w:rPr>
          <w:rFonts w:hint="default" w:ascii="宋体" w:hAnsi="宋体" w:eastAsia="宋体" w:cs="宋体"/>
          <w:b/>
          <w:bCs w:val="0"/>
          <w:color w:val="000000"/>
          <w:sz w:val="28"/>
          <w:szCs w:val="28"/>
          <w:lang w:val="en-US" w:eastAsia="zh-CN"/>
        </w:rPr>
      </w:pPr>
      <w:r>
        <w:rPr>
          <w:rFonts w:hint="eastAsia" w:ascii="宋体" w:hAnsi="宋体" w:eastAsia="宋体" w:cs="宋体"/>
          <w:b/>
          <w:bCs/>
          <w:color w:val="000000"/>
          <w:kern w:val="0"/>
          <w:sz w:val="28"/>
          <w:szCs w:val="28"/>
          <w:lang w:val="en-US" w:eastAsia="zh-CN" w:bidi="ar"/>
        </w:rPr>
        <w:t>（3）</w:t>
      </w:r>
      <w:r>
        <w:rPr>
          <w:rFonts w:hint="eastAsia" w:ascii="宋体" w:hAnsi="宋体" w:eastAsia="宋体" w:cs="宋体"/>
          <w:b/>
          <w:bCs w:val="0"/>
          <w:color w:val="000000"/>
          <w:sz w:val="28"/>
          <w:szCs w:val="28"/>
          <w:lang w:val="en-US" w:eastAsia="zh-CN"/>
        </w:rPr>
        <w:t>培养</w:t>
      </w:r>
      <w:r>
        <w:rPr>
          <w:rFonts w:hint="eastAsia" w:ascii="宋体" w:hAnsi="宋体" w:eastAsia="宋体" w:cs="宋体"/>
          <w:b/>
          <w:bCs w:val="0"/>
          <w:color w:val="000000"/>
          <w:sz w:val="28"/>
          <w:szCs w:val="28"/>
          <w:lang w:eastAsia="zh-CN"/>
        </w:rPr>
        <w:t>方向</w:t>
      </w:r>
      <w:r>
        <w:rPr>
          <w:rFonts w:hint="eastAsia" w:ascii="宋体" w:hAnsi="宋体" w:eastAsia="宋体" w:cs="宋体"/>
          <w:b/>
          <w:bCs w:val="0"/>
          <w:color w:val="000000"/>
          <w:sz w:val="28"/>
          <w:szCs w:val="28"/>
          <w:lang w:val="en-US" w:eastAsia="zh-CN"/>
        </w:rPr>
        <w:t>及带头人简介</w:t>
      </w:r>
    </w:p>
    <w:p w14:paraId="7170C8D4">
      <w:pPr>
        <w:spacing w:line="240" w:lineRule="auto"/>
        <w:ind w:firstLine="562" w:firstLineChars="200"/>
        <w:jc w:val="left"/>
        <w:rPr>
          <w:rFonts w:hint="default" w:ascii="宋体" w:hAnsi="宋体" w:eastAsia="宋体" w:cs="宋体"/>
          <w:b/>
          <w:bCs w:val="0"/>
          <w:color w:val="000000"/>
          <w:sz w:val="28"/>
          <w:szCs w:val="28"/>
          <w:lang w:val="en-US" w:eastAsia="zh-CN"/>
        </w:rPr>
      </w:pPr>
      <w:r>
        <w:rPr>
          <w:rFonts w:hint="eastAsia" w:ascii="宋体" w:hAnsi="宋体" w:eastAsia="宋体" w:cs="宋体"/>
          <w:b/>
          <w:bCs/>
          <w:color w:val="000000"/>
          <w:kern w:val="0"/>
          <w:sz w:val="28"/>
          <w:szCs w:val="28"/>
          <w:lang w:val="en-US" w:eastAsia="zh-CN" w:bidi="ar"/>
        </w:rPr>
        <w:t>3.</w:t>
      </w:r>
      <w:r>
        <w:rPr>
          <w:rFonts w:hint="eastAsia" w:ascii="宋体" w:hAnsi="宋体" w:eastAsia="宋体" w:cs="宋体"/>
          <w:b/>
          <w:bCs w:val="0"/>
          <w:color w:val="000000"/>
          <w:sz w:val="28"/>
          <w:szCs w:val="28"/>
          <w:lang w:val="en-US" w:eastAsia="zh-CN"/>
        </w:rPr>
        <w:t>1培养</w:t>
      </w:r>
      <w:r>
        <w:rPr>
          <w:rFonts w:hint="eastAsia" w:ascii="宋体" w:hAnsi="宋体" w:eastAsia="宋体" w:cs="宋体"/>
          <w:b/>
          <w:bCs w:val="0"/>
          <w:color w:val="000000"/>
          <w:sz w:val="28"/>
          <w:szCs w:val="28"/>
          <w:lang w:eastAsia="zh-CN"/>
        </w:rPr>
        <w:t>方向</w:t>
      </w:r>
      <w:r>
        <w:rPr>
          <w:rFonts w:hint="eastAsia" w:ascii="宋体" w:hAnsi="宋体" w:eastAsia="宋体" w:cs="宋体"/>
          <w:b/>
          <w:bCs w:val="0"/>
          <w:color w:val="000000"/>
          <w:sz w:val="28"/>
          <w:szCs w:val="28"/>
          <w:lang w:val="en-US" w:eastAsia="zh-CN"/>
        </w:rPr>
        <w:t>及带头人简介</w:t>
      </w:r>
    </w:p>
    <w:p w14:paraId="15D78336">
      <w:pPr>
        <w:spacing w:line="240" w:lineRule="auto"/>
        <w:ind w:firstLine="560" w:firstLineChars="200"/>
        <w:rPr>
          <w:rFonts w:hint="eastAsia" w:ascii="宋体" w:hAnsi="宋体" w:eastAsia="宋体" w:cs="宋体"/>
          <w:b w:val="0"/>
          <w:bCs w:val="0"/>
          <w:color w:val="000000"/>
          <w:sz w:val="28"/>
          <w:szCs w:val="28"/>
          <w:lang w:val="en-US" w:eastAsia="zh-CN"/>
        </w:rPr>
      </w:pPr>
      <w:r>
        <w:rPr>
          <w:rFonts w:hint="eastAsia" w:ascii="宋体" w:hAnsi="宋体" w:eastAsia="宋体" w:cs="宋体"/>
          <w:color w:val="000000"/>
          <w:sz w:val="28"/>
          <w:szCs w:val="28"/>
          <w:lang w:eastAsia="zh-CN"/>
        </w:rPr>
        <w:t>本学科有</w:t>
      </w:r>
      <w:r>
        <w:rPr>
          <w:rFonts w:hint="eastAsia" w:ascii="宋体" w:hAnsi="宋体" w:eastAsia="宋体" w:cs="宋体"/>
          <w:b w:val="0"/>
          <w:bCs w:val="0"/>
          <w:color w:val="000000"/>
          <w:sz w:val="28"/>
          <w:szCs w:val="28"/>
          <w:lang w:val="en-US" w:eastAsia="zh-CN"/>
        </w:rPr>
        <w:t>8个主要研究方向，其中呼吸疾病、儿科疾病、感染疾病方向居国内前列，具体简介见下表：</w:t>
      </w:r>
    </w:p>
    <w:p w14:paraId="02D3ED2D">
      <w:pPr>
        <w:spacing w:line="360" w:lineRule="auto"/>
        <w:jc w:val="center"/>
        <w:rPr>
          <w:rFonts w:hint="eastAsia"/>
          <w:lang w:eastAsia="zh-CN"/>
        </w:rPr>
      </w:pPr>
      <w:r>
        <w:rPr>
          <w:rFonts w:hint="eastAsia"/>
          <w:lang w:eastAsia="zh-CN"/>
        </w:rPr>
        <w:drawing>
          <wp:inline distT="0" distB="0" distL="114300" distR="114300">
            <wp:extent cx="5202555" cy="7909560"/>
            <wp:effectExtent l="0" t="0" r="17145" b="15240"/>
            <wp:docPr id="2" name="图片 2" descr="图片内容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内容_01"/>
                    <pic:cNvPicPr>
                      <a:picLocks noChangeAspect="1"/>
                    </pic:cNvPicPr>
                  </pic:nvPicPr>
                  <pic:blipFill>
                    <a:blip r:embed="rId6"/>
                    <a:srcRect l="11487" t="7916" r="11126" b="8930"/>
                    <a:stretch>
                      <a:fillRect/>
                    </a:stretch>
                  </pic:blipFill>
                  <pic:spPr>
                    <a:xfrm>
                      <a:off x="0" y="0"/>
                      <a:ext cx="5202555" cy="7909560"/>
                    </a:xfrm>
                    <a:prstGeom prst="rect">
                      <a:avLst/>
                    </a:prstGeom>
                  </pic:spPr>
                </pic:pic>
              </a:graphicData>
            </a:graphic>
          </wp:inline>
        </w:drawing>
      </w:r>
    </w:p>
    <w:p w14:paraId="6F8B307F">
      <w:pPr>
        <w:jc w:val="center"/>
        <w:rPr>
          <w:rFonts w:hint="eastAsia"/>
          <w:lang w:eastAsia="zh-CN"/>
        </w:rPr>
      </w:pPr>
      <w:r>
        <w:rPr>
          <w:rFonts w:hint="eastAsia"/>
          <w:lang w:eastAsia="zh-CN"/>
        </w:rPr>
        <w:drawing>
          <wp:inline distT="0" distB="0" distL="114300" distR="114300">
            <wp:extent cx="5312410" cy="7911465"/>
            <wp:effectExtent l="0" t="0" r="2540" b="13335"/>
            <wp:docPr id="3" name="图片 3" descr="方向简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方向简介2"/>
                    <pic:cNvPicPr>
                      <a:picLocks noChangeAspect="1"/>
                    </pic:cNvPicPr>
                  </pic:nvPicPr>
                  <pic:blipFill>
                    <a:blip r:embed="rId7"/>
                    <a:srcRect l="10656" t="7626" r="10800" b="9714"/>
                    <a:stretch>
                      <a:fillRect/>
                    </a:stretch>
                  </pic:blipFill>
                  <pic:spPr>
                    <a:xfrm>
                      <a:off x="0" y="0"/>
                      <a:ext cx="5312410" cy="7911465"/>
                    </a:xfrm>
                    <a:prstGeom prst="rect">
                      <a:avLst/>
                    </a:prstGeom>
                  </pic:spPr>
                </pic:pic>
              </a:graphicData>
            </a:graphic>
          </wp:inline>
        </w:drawing>
      </w:r>
    </w:p>
    <w:p w14:paraId="0D562870">
      <w:pPr>
        <w:spacing w:line="360" w:lineRule="auto"/>
        <w:jc w:val="center"/>
        <w:rPr>
          <w:rFonts w:hint="eastAsia" w:ascii="宋体" w:hAnsi="宋体" w:eastAsia="宋体" w:cs="宋体"/>
          <w:b/>
          <w:bCs/>
          <w:color w:val="000000"/>
          <w:kern w:val="0"/>
          <w:sz w:val="28"/>
          <w:szCs w:val="28"/>
          <w:lang w:val="en-US" w:eastAsia="zh-CN" w:bidi="ar"/>
        </w:rPr>
      </w:pPr>
    </w:p>
    <w:p w14:paraId="3FC148BC">
      <w:pPr>
        <w:spacing w:line="360" w:lineRule="auto"/>
        <w:rPr>
          <w:rFonts w:hint="eastAsia" w:ascii="宋体" w:hAnsi="宋体" w:eastAsia="宋体" w:cs="宋体"/>
          <w:b/>
          <w:bCs/>
          <w:color w:val="000000"/>
          <w:kern w:val="0"/>
          <w:sz w:val="28"/>
          <w:szCs w:val="28"/>
          <w:lang w:val="en-US" w:eastAsia="zh-CN" w:bidi="ar"/>
        </w:rPr>
      </w:pPr>
    </w:p>
    <w:p w14:paraId="613BA05D">
      <w:pPr>
        <w:spacing w:line="240" w:lineRule="auto"/>
        <w:jc w:val="center"/>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drawing>
          <wp:inline distT="0" distB="0" distL="114300" distR="114300">
            <wp:extent cx="5299075" cy="7797165"/>
            <wp:effectExtent l="0" t="0" r="15875" b="13335"/>
            <wp:docPr id="5" name="图片 5" descr="图片内容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内容_03"/>
                    <pic:cNvPicPr>
                      <a:picLocks noChangeAspect="1"/>
                    </pic:cNvPicPr>
                  </pic:nvPicPr>
                  <pic:blipFill>
                    <a:blip r:embed="rId8"/>
                    <a:srcRect l="11283" t="8214" r="11403" b="11401"/>
                    <a:stretch>
                      <a:fillRect/>
                    </a:stretch>
                  </pic:blipFill>
                  <pic:spPr>
                    <a:xfrm>
                      <a:off x="0" y="0"/>
                      <a:ext cx="5299075" cy="7797165"/>
                    </a:xfrm>
                    <a:prstGeom prst="rect">
                      <a:avLst/>
                    </a:prstGeom>
                  </pic:spPr>
                </pic:pic>
              </a:graphicData>
            </a:graphic>
          </wp:inline>
        </w:drawing>
      </w:r>
    </w:p>
    <w:p w14:paraId="44B0E3EE">
      <w:pPr>
        <w:spacing w:line="240" w:lineRule="auto"/>
        <w:ind w:firstLine="562" w:firstLineChars="200"/>
        <w:rPr>
          <w:rFonts w:hint="eastAsia" w:ascii="宋体" w:hAnsi="宋体" w:eastAsia="宋体" w:cs="宋体"/>
          <w:b/>
          <w:bCs/>
          <w:color w:val="000000"/>
          <w:sz w:val="28"/>
          <w:szCs w:val="28"/>
        </w:rPr>
      </w:pPr>
      <w:r>
        <w:rPr>
          <w:rFonts w:hint="eastAsia" w:ascii="宋体" w:hAnsi="宋体" w:eastAsia="宋体" w:cs="仿宋"/>
          <w:b/>
          <w:bCs/>
          <w:sz w:val="28"/>
          <w:szCs w:val="28"/>
        </w:rPr>
        <w:t>（四）师资队伍</w:t>
      </w:r>
    </w:p>
    <w:p w14:paraId="71F06D5D">
      <w:pPr>
        <w:spacing w:line="240" w:lineRule="auto"/>
        <w:ind w:firstLine="560" w:firstLineChars="200"/>
        <w:rPr>
          <w:rFonts w:hint="default" w:ascii="宋体" w:hAnsi="宋体" w:eastAsia="宋体" w:cs="宋体"/>
          <w:color w:val="000000"/>
          <w:kern w:val="2"/>
          <w:sz w:val="28"/>
          <w:szCs w:val="28"/>
          <w:lang w:val="en-US" w:eastAsia="zh-CN" w:bidi="ar-SA"/>
        </w:rPr>
      </w:pPr>
      <w:r>
        <w:rPr>
          <w:rFonts w:hint="eastAsia" w:ascii="宋体" w:hAnsi="宋体" w:eastAsia="宋体" w:cs="宋体"/>
          <w:color w:val="000000"/>
          <w:kern w:val="2"/>
          <w:sz w:val="28"/>
          <w:szCs w:val="28"/>
          <w:lang w:val="en-US" w:eastAsia="zh-CN" w:bidi="ar-SA"/>
        </w:rPr>
        <w:t>学位点目前拥有一支由</w:t>
      </w:r>
      <w:r>
        <w:rPr>
          <w:rFonts w:hint="eastAsia" w:ascii="宋体" w:hAnsi="宋体" w:eastAsia="宋体" w:cs="宋体"/>
          <w:b/>
          <w:bCs/>
          <w:color w:val="000000"/>
          <w:kern w:val="2"/>
          <w:sz w:val="28"/>
          <w:szCs w:val="28"/>
          <w:lang w:val="en-US" w:eastAsia="zh-CN" w:bidi="ar-SA"/>
        </w:rPr>
        <w:t>325名</w:t>
      </w:r>
      <w:r>
        <w:rPr>
          <w:rFonts w:hint="eastAsia" w:ascii="宋体" w:hAnsi="宋体" w:eastAsia="宋体" w:cs="宋体"/>
          <w:color w:val="000000"/>
          <w:kern w:val="2"/>
          <w:sz w:val="28"/>
          <w:szCs w:val="28"/>
          <w:lang w:val="en-US" w:eastAsia="zh-CN" w:bidi="ar-SA"/>
        </w:rPr>
        <w:t>教师组成的导师团队。其中45岁以下139人，占比</w:t>
      </w:r>
      <w:r>
        <w:rPr>
          <w:rFonts w:hint="eastAsia" w:ascii="宋体" w:hAnsi="宋体" w:eastAsia="宋体" w:cs="宋体"/>
          <w:b/>
          <w:bCs/>
          <w:color w:val="000000"/>
          <w:kern w:val="2"/>
          <w:sz w:val="28"/>
          <w:szCs w:val="28"/>
          <w:lang w:val="en-US" w:eastAsia="zh-CN" w:bidi="ar-SA"/>
        </w:rPr>
        <w:t>42.77%</w:t>
      </w:r>
      <w:r>
        <w:rPr>
          <w:rFonts w:hint="eastAsia" w:ascii="宋体" w:hAnsi="宋体" w:eastAsia="宋体" w:cs="宋体"/>
          <w:color w:val="000000"/>
          <w:kern w:val="2"/>
          <w:sz w:val="28"/>
          <w:szCs w:val="28"/>
          <w:lang w:val="en-US" w:eastAsia="zh-CN" w:bidi="ar-SA"/>
        </w:rPr>
        <w:t>；正高级职称147人、</w:t>
      </w:r>
      <w:r>
        <w:rPr>
          <w:rFonts w:hint="eastAsia" w:ascii="宋体" w:hAnsi="宋体" w:eastAsia="宋体" w:cs="宋体"/>
          <w:b/>
          <w:bCs/>
          <w:color w:val="000000"/>
          <w:kern w:val="2"/>
          <w:sz w:val="28"/>
          <w:szCs w:val="28"/>
          <w:lang w:val="en-US" w:eastAsia="zh-CN" w:bidi="ar-SA"/>
        </w:rPr>
        <w:t>占比45.23%</w:t>
      </w:r>
      <w:r>
        <w:rPr>
          <w:rFonts w:hint="eastAsia" w:ascii="宋体" w:hAnsi="宋体" w:eastAsia="宋体" w:cs="宋体"/>
          <w:color w:val="000000"/>
          <w:kern w:val="2"/>
          <w:sz w:val="28"/>
          <w:szCs w:val="28"/>
          <w:lang w:val="en-US" w:eastAsia="zh-CN" w:bidi="ar-SA"/>
        </w:rPr>
        <w:t>；</w:t>
      </w:r>
      <w:r>
        <w:rPr>
          <w:rFonts w:hint="eastAsia" w:ascii="宋体" w:hAnsi="宋体" w:eastAsia="宋体" w:cs="宋体"/>
          <w:color w:val="auto"/>
          <w:kern w:val="2"/>
          <w:sz w:val="28"/>
          <w:szCs w:val="28"/>
          <w:lang w:val="en-US" w:eastAsia="zh-CN" w:bidi="ar-SA"/>
        </w:rPr>
        <w:t>博士学位198人、</w:t>
      </w:r>
      <w:r>
        <w:rPr>
          <w:rFonts w:hint="eastAsia" w:ascii="宋体" w:hAnsi="宋体" w:eastAsia="宋体" w:cs="宋体"/>
          <w:b/>
          <w:bCs/>
          <w:color w:val="auto"/>
          <w:kern w:val="2"/>
          <w:sz w:val="28"/>
          <w:szCs w:val="28"/>
          <w:lang w:val="en-US" w:eastAsia="zh-CN" w:bidi="ar-SA"/>
        </w:rPr>
        <w:t>占比60.92%</w:t>
      </w:r>
      <w:r>
        <w:rPr>
          <w:rFonts w:hint="eastAsia" w:ascii="宋体" w:hAnsi="宋体" w:eastAsia="宋体" w:cs="宋体"/>
          <w:color w:val="auto"/>
          <w:kern w:val="2"/>
          <w:sz w:val="28"/>
          <w:szCs w:val="28"/>
          <w:lang w:val="en-US" w:eastAsia="zh-CN" w:bidi="ar-SA"/>
        </w:rPr>
        <w:t>；</w:t>
      </w:r>
      <w:r>
        <w:rPr>
          <w:rFonts w:hint="eastAsia" w:ascii="宋体" w:hAnsi="宋体" w:eastAsia="宋体" w:cs="宋体"/>
          <w:color w:val="000000"/>
          <w:kern w:val="2"/>
          <w:sz w:val="28"/>
          <w:szCs w:val="28"/>
          <w:lang w:val="en-US" w:eastAsia="zh-CN" w:bidi="ar-SA"/>
        </w:rPr>
        <w:t>最高学位非本单位授予的人数193人、</w:t>
      </w:r>
      <w:r>
        <w:rPr>
          <w:rFonts w:hint="eastAsia" w:ascii="宋体" w:hAnsi="宋体" w:eastAsia="宋体" w:cs="宋体"/>
          <w:b/>
          <w:bCs/>
          <w:color w:val="auto"/>
          <w:kern w:val="2"/>
          <w:sz w:val="28"/>
          <w:szCs w:val="28"/>
          <w:lang w:val="en-US" w:eastAsia="zh-CN" w:bidi="ar-SA"/>
        </w:rPr>
        <w:t>占比59.38%</w:t>
      </w:r>
      <w:r>
        <w:rPr>
          <w:rFonts w:hint="eastAsia" w:ascii="宋体" w:hAnsi="宋体" w:eastAsia="宋体" w:cs="宋体"/>
          <w:color w:val="000000"/>
          <w:kern w:val="2"/>
          <w:sz w:val="28"/>
          <w:szCs w:val="28"/>
          <w:lang w:val="en-US" w:eastAsia="zh-CN" w:bidi="ar-SA"/>
        </w:rPr>
        <w:t>。团队结构合理，成员学历水平高，为教学与科研的高质量发展奠定了坚实基础。</w:t>
      </w:r>
    </w:p>
    <w:p w14:paraId="7B3EDF94">
      <w:pPr>
        <w:spacing w:line="240" w:lineRule="auto"/>
        <w:ind w:left="420" w:hanging="420" w:hangingChars="200"/>
        <w:jc w:val="both"/>
      </w:pPr>
      <w:r>
        <w:drawing>
          <wp:inline distT="0" distB="0" distL="114300" distR="114300">
            <wp:extent cx="5269230" cy="3049270"/>
            <wp:effectExtent l="0" t="0" r="7620" b="1778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9"/>
                    <a:stretch>
                      <a:fillRect/>
                    </a:stretch>
                  </pic:blipFill>
                  <pic:spPr>
                    <a:xfrm>
                      <a:off x="0" y="0"/>
                      <a:ext cx="5269230" cy="3049270"/>
                    </a:xfrm>
                    <a:prstGeom prst="rect">
                      <a:avLst/>
                    </a:prstGeom>
                    <a:noFill/>
                    <a:ln>
                      <a:noFill/>
                    </a:ln>
                  </pic:spPr>
                </pic:pic>
              </a:graphicData>
            </a:graphic>
          </wp:inline>
        </w:drawing>
      </w:r>
    </w:p>
    <w:p w14:paraId="0BB42788">
      <w:pPr>
        <w:spacing w:after="156" w:afterLines="50" w:line="560" w:lineRule="exact"/>
        <w:jc w:val="left"/>
        <w:rPr>
          <w:rFonts w:hint="eastAsia" w:ascii="宋体" w:hAnsi="宋体" w:eastAsia="宋体" w:cs="宋体"/>
          <w:b/>
          <w:bCs/>
          <w:color w:val="000000"/>
          <w:kern w:val="0"/>
          <w:sz w:val="28"/>
          <w:szCs w:val="28"/>
          <w:lang w:val="en-US" w:eastAsia="zh-CN" w:bidi="ar"/>
        </w:rPr>
      </w:pPr>
      <w:r>
        <w:rPr>
          <w:rFonts w:hint="eastAsia" w:ascii="Times New Roman" w:hAnsi="Times New Roman" w:eastAsia="方正小标宋简体"/>
          <w:b/>
          <w:sz w:val="32"/>
          <w:szCs w:val="32"/>
        </w:rPr>
        <w:t>二、年度建设取得的成绩</w:t>
      </w:r>
    </w:p>
    <w:p w14:paraId="2EF5D827">
      <w:pPr>
        <w:spacing w:line="240" w:lineRule="auto"/>
        <w:ind w:firstLine="562" w:firstLineChars="200"/>
        <w:jc w:val="both"/>
        <w:rPr>
          <w:rFonts w:hint="eastAsia" w:ascii="宋体" w:hAnsi="宋体" w:eastAsia="宋体" w:cs="仿宋"/>
          <w:b/>
          <w:bCs/>
          <w:sz w:val="28"/>
          <w:szCs w:val="28"/>
        </w:rPr>
      </w:pPr>
      <w:r>
        <w:rPr>
          <w:rFonts w:hint="eastAsia" w:ascii="宋体" w:hAnsi="宋体" w:eastAsia="宋体"/>
          <w:b/>
          <w:bCs/>
          <w:sz w:val="28"/>
          <w:szCs w:val="28"/>
          <w:highlight w:val="none"/>
          <w:lang w:eastAsia="zh-CN"/>
        </w:rPr>
        <w:t>（</w:t>
      </w:r>
      <w:r>
        <w:rPr>
          <w:rFonts w:hint="eastAsia" w:ascii="宋体" w:hAnsi="宋体" w:eastAsia="宋体"/>
          <w:b/>
          <w:bCs/>
          <w:sz w:val="28"/>
          <w:szCs w:val="28"/>
          <w:highlight w:val="none"/>
          <w:lang w:val="en-US" w:eastAsia="zh-CN"/>
        </w:rPr>
        <w:t>一</w:t>
      </w:r>
      <w:r>
        <w:rPr>
          <w:rFonts w:hint="eastAsia" w:ascii="宋体" w:hAnsi="宋体" w:eastAsia="宋体"/>
          <w:b/>
          <w:bCs/>
          <w:sz w:val="28"/>
          <w:szCs w:val="28"/>
          <w:highlight w:val="none"/>
          <w:lang w:eastAsia="zh-CN"/>
        </w:rPr>
        <w:t>）</w:t>
      </w:r>
      <w:r>
        <w:rPr>
          <w:rFonts w:hint="eastAsia" w:ascii="宋体" w:hAnsi="宋体" w:eastAsia="宋体" w:cs="仿宋"/>
          <w:b/>
          <w:bCs/>
          <w:sz w:val="28"/>
          <w:szCs w:val="28"/>
        </w:rPr>
        <w:t>制度建设</w:t>
      </w:r>
    </w:p>
    <w:p w14:paraId="0D099D59">
      <w:pPr>
        <w:spacing w:line="240" w:lineRule="auto"/>
        <w:ind w:firstLine="560" w:firstLineChars="200"/>
        <w:jc w:val="both"/>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为不断适应研究生培养的需要，提升研究生培养质量，2020年，我校修订了多项研究生相关管理制度，为培养高层次、创新型人才提供制度保障，推动学位点的高质量发展。</w:t>
      </w:r>
    </w:p>
    <w:p w14:paraId="6AD1099A">
      <w:pPr>
        <w:numPr>
          <w:ilvl w:val="0"/>
          <w:numId w:val="0"/>
        </w:numPr>
        <w:spacing w:line="240" w:lineRule="auto"/>
        <w:ind w:firstLine="560" w:firstLineChars="200"/>
        <w:jc w:val="both"/>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1）为适应国家高层次创新人才培养的需要，推进博士研究生招生改革，吸引优秀博士研究生生源，进一步不优化生源结构，规范硕士研究生（推免）攻读博士学位推荐工作，我校修订了《河南中医药大学硕士研究生（推免）攻读博士学位推荐办法（试行）》；</w:t>
      </w:r>
    </w:p>
    <w:p w14:paraId="52650D83">
      <w:pPr>
        <w:numPr>
          <w:ilvl w:val="0"/>
          <w:numId w:val="0"/>
        </w:numPr>
        <w:spacing w:line="240" w:lineRule="auto"/>
        <w:ind w:firstLine="560" w:firstLineChars="200"/>
        <w:jc w:val="both"/>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（2）为更好落实研究生导师负责制，维护我校在读研究生和导师的合法权益，规范管理流程，对在读研究生变更导师修订了《河南中医药大学咋读研究生变更导师的规定（试行）》；</w:t>
      </w:r>
    </w:p>
    <w:p w14:paraId="0B64B0F9">
      <w:pPr>
        <w:numPr>
          <w:ilvl w:val="0"/>
          <w:numId w:val="0"/>
        </w:numPr>
        <w:spacing w:line="240" w:lineRule="auto"/>
        <w:ind w:firstLine="560" w:firstLineChars="200"/>
        <w:jc w:val="both"/>
        <w:rPr>
          <w:rFonts w:hint="eastAsia"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3）为更好的帮助研究生顺利完成学业，补助研究生生活支出，修订了《河南中医药大学研究生国家奖学金、学业奖学金和国家助学金管理办法》、《河南中医药大学研究生校内奖助学金评定管理办法》、《河南中医药大学研究生“三助一扶”工作管理办法》；</w:t>
      </w:r>
    </w:p>
    <w:p w14:paraId="018A3A86">
      <w:pPr>
        <w:numPr>
          <w:ilvl w:val="0"/>
          <w:numId w:val="0"/>
        </w:numPr>
        <w:spacing w:line="240" w:lineRule="auto"/>
        <w:ind w:firstLine="560" w:firstLineChars="200"/>
        <w:jc w:val="both"/>
        <w:rPr>
          <w:rFonts w:hint="default" w:ascii="宋体" w:hAnsi="宋体" w:eastAsia="宋体" w:cs="Times New Roman"/>
          <w:sz w:val="28"/>
          <w:szCs w:val="28"/>
          <w:highlight w:val="none"/>
          <w:lang w:val="en-US" w:eastAsia="zh-CN"/>
        </w:rPr>
      </w:pPr>
      <w:r>
        <w:rPr>
          <w:rFonts w:hint="eastAsia" w:ascii="宋体" w:hAnsi="宋体" w:eastAsia="宋体" w:cs="Times New Roman"/>
          <w:sz w:val="28"/>
          <w:szCs w:val="28"/>
          <w:highlight w:val="none"/>
          <w:lang w:val="en-US" w:eastAsia="zh-CN"/>
        </w:rPr>
        <w:t>（4）为全面贯彻党的教育方针，加强校风、学风建设，建立科学规范的研究生综合素质评价机制，引导激励研究生全面发展，修订了《河南中医药大学研究生综合素质测评办法》。</w:t>
      </w:r>
    </w:p>
    <w:p w14:paraId="19132C47">
      <w:pPr>
        <w:spacing w:line="240" w:lineRule="auto"/>
        <w:ind w:firstLine="562" w:firstLineChars="200"/>
        <w:jc w:val="both"/>
        <w:rPr>
          <w:rFonts w:hint="eastAsia" w:ascii="宋体" w:hAnsi="宋体" w:eastAsia="宋体" w:cs="仿宋"/>
          <w:b/>
          <w:bCs/>
          <w:sz w:val="28"/>
          <w:szCs w:val="28"/>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二</w:t>
      </w:r>
      <w:r>
        <w:rPr>
          <w:rFonts w:hint="eastAsia" w:ascii="宋体" w:hAnsi="宋体" w:eastAsia="宋体" w:cs="仿宋"/>
          <w:b/>
          <w:bCs/>
          <w:sz w:val="28"/>
          <w:szCs w:val="28"/>
          <w:lang w:eastAsia="zh-CN"/>
        </w:rPr>
        <w:t>）</w:t>
      </w:r>
      <w:r>
        <w:rPr>
          <w:rFonts w:hint="eastAsia" w:ascii="宋体" w:hAnsi="宋体" w:eastAsia="宋体" w:cs="仿宋"/>
          <w:b/>
          <w:bCs/>
          <w:sz w:val="28"/>
          <w:szCs w:val="28"/>
        </w:rPr>
        <w:t>师资队伍建设</w:t>
      </w:r>
    </w:p>
    <w:p w14:paraId="5BC3DE25">
      <w:pPr>
        <w:spacing w:line="240" w:lineRule="auto"/>
        <w:ind w:firstLine="562" w:firstLineChars="200"/>
        <w:rPr>
          <w:rFonts w:hint="eastAsia" w:ascii="宋体" w:hAnsi="宋体" w:eastAsia="宋体" w:cs="宋体"/>
          <w:b/>
          <w:bCs/>
          <w:color w:val="000000"/>
          <w:sz w:val="28"/>
          <w:szCs w:val="28"/>
        </w:rPr>
      </w:pPr>
      <w:r>
        <w:rPr>
          <w:rFonts w:hint="eastAsia" w:ascii="宋体" w:hAnsi="宋体" w:eastAsia="宋体" w:cs="宋体"/>
          <w:b/>
          <w:bCs/>
          <w:color w:val="000000"/>
          <w:kern w:val="2"/>
          <w:sz w:val="28"/>
          <w:szCs w:val="28"/>
          <w:lang w:val="en-US" w:eastAsia="zh-CN" w:bidi="ar-SA"/>
        </w:rPr>
        <w:t>2.1</w:t>
      </w:r>
      <w:r>
        <w:rPr>
          <w:rFonts w:hint="eastAsia" w:ascii="宋体" w:hAnsi="宋体" w:eastAsia="宋体" w:cs="宋体"/>
          <w:b/>
          <w:bCs/>
          <w:color w:val="000000"/>
          <w:sz w:val="28"/>
          <w:szCs w:val="28"/>
        </w:rPr>
        <w:t>导师指导</w:t>
      </w:r>
    </w:p>
    <w:p w14:paraId="28ACB14F">
      <w:pPr>
        <w:spacing w:line="240" w:lineRule="auto"/>
        <w:ind w:left="559" w:leftChars="266" w:firstLine="0" w:firstLineChars="0"/>
        <w:rPr>
          <w:rFonts w:hint="default"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2.1.</w:t>
      </w:r>
      <w:r>
        <w:rPr>
          <w:rFonts w:hint="default" w:ascii="宋体" w:hAnsi="宋体" w:eastAsia="宋体" w:cs="宋体"/>
          <w:b/>
          <w:bCs/>
          <w:color w:val="000000"/>
          <w:kern w:val="2"/>
          <w:sz w:val="28"/>
          <w:szCs w:val="28"/>
          <w:lang w:val="en-US" w:eastAsia="zh-CN" w:bidi="ar-SA"/>
        </w:rPr>
        <w:t>1 导师遴选</w:t>
      </w:r>
    </w:p>
    <w:p w14:paraId="4D9FC8F2">
      <w:pPr>
        <w:spacing w:line="240" w:lineRule="auto"/>
        <w:ind w:firstLine="560" w:firstLineChars="200"/>
        <w:rPr>
          <w:rFonts w:hint="eastAsia" w:ascii="宋体" w:hAnsi="宋体" w:eastAsia="宋体" w:cs="宋体"/>
          <w:b w:val="0"/>
          <w:bCs/>
          <w:color w:val="auto"/>
          <w:kern w:val="2"/>
          <w:sz w:val="28"/>
          <w:szCs w:val="28"/>
          <w:lang w:val="en-US" w:eastAsia="zh-CN" w:bidi="ar-SA"/>
        </w:rPr>
      </w:pPr>
      <w:r>
        <w:rPr>
          <w:rFonts w:hint="eastAsia" w:ascii="宋体" w:hAnsi="宋体" w:eastAsia="宋体" w:cs="宋体"/>
          <w:b w:val="0"/>
          <w:bCs w:val="0"/>
          <w:color w:val="000000"/>
          <w:kern w:val="2"/>
          <w:sz w:val="28"/>
          <w:szCs w:val="28"/>
          <w:lang w:val="en-US" w:eastAsia="zh-CN" w:bidi="ar-SA"/>
        </w:rPr>
        <w:t>严格按照《河南中医药大学研究生知道教师遴选条例》进行导师遴选。</w:t>
      </w:r>
      <w:r>
        <w:rPr>
          <w:rFonts w:hint="default" w:ascii="宋体" w:hAnsi="宋体" w:eastAsia="宋体" w:cs="宋体"/>
          <w:b/>
          <w:bCs/>
          <w:color w:val="000000"/>
          <w:kern w:val="2"/>
          <w:sz w:val="28"/>
          <w:szCs w:val="28"/>
          <w:lang w:val="en-US" w:eastAsia="zh-CN" w:bidi="ar-SA"/>
        </w:rPr>
        <w:t>①准入标准体系化</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申报博士研究生导师须具备正高级职称和博士学位；承担国家级课题的硕士学位正高级职称教师，单项经费达15万元以上者可破格遴选</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
          <w:bCs/>
          <w:color w:val="000000"/>
          <w:kern w:val="2"/>
          <w:sz w:val="28"/>
          <w:szCs w:val="28"/>
          <w:lang w:val="en-US" w:eastAsia="zh-CN" w:bidi="ar-SA"/>
        </w:rPr>
        <w:t>②遴选程序规范化</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实行</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个人申请-</w:t>
      </w:r>
      <w:r>
        <w:rPr>
          <w:rFonts w:hint="eastAsia" w:ascii="宋体" w:hAnsi="宋体" w:eastAsia="宋体" w:cs="宋体"/>
          <w:bCs w:val="0"/>
          <w:color w:val="000000"/>
          <w:kern w:val="2"/>
          <w:sz w:val="28"/>
          <w:szCs w:val="28"/>
          <w:lang w:val="en-US" w:eastAsia="zh-CN" w:bidi="ar-SA"/>
        </w:rPr>
        <w:t>院部审核-</w:t>
      </w:r>
      <w:r>
        <w:rPr>
          <w:rFonts w:hint="default" w:ascii="宋体" w:hAnsi="宋体" w:eastAsia="宋体" w:cs="宋体"/>
          <w:bCs w:val="0"/>
          <w:color w:val="000000"/>
          <w:kern w:val="2"/>
          <w:sz w:val="28"/>
          <w:szCs w:val="28"/>
          <w:lang w:val="en-US" w:eastAsia="zh-CN" w:bidi="ar-SA"/>
        </w:rPr>
        <w:t>学位评定分委员会</w:t>
      </w:r>
      <w:r>
        <w:rPr>
          <w:rFonts w:hint="eastAsia" w:ascii="宋体" w:hAnsi="宋体" w:eastAsia="宋体" w:cs="宋体"/>
          <w:bCs w:val="0"/>
          <w:color w:val="000000"/>
          <w:kern w:val="2"/>
          <w:sz w:val="28"/>
          <w:szCs w:val="28"/>
          <w:lang w:val="en-US" w:eastAsia="zh-CN" w:bidi="ar-SA"/>
        </w:rPr>
        <w:t>推荐</w:t>
      </w:r>
      <w:r>
        <w:rPr>
          <w:rFonts w:hint="default" w:ascii="宋体" w:hAnsi="宋体" w:eastAsia="宋体" w:cs="宋体"/>
          <w:bCs w:val="0"/>
          <w:color w:val="000000"/>
          <w:kern w:val="2"/>
          <w:sz w:val="28"/>
          <w:szCs w:val="28"/>
          <w:lang w:val="en-US" w:eastAsia="zh-CN" w:bidi="ar-SA"/>
        </w:rPr>
        <w:t>-校学位评定委员会审定</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的</w:t>
      </w:r>
      <w:r>
        <w:rPr>
          <w:rFonts w:hint="eastAsia" w:ascii="宋体" w:hAnsi="宋体" w:eastAsia="宋体" w:cs="宋体"/>
          <w:bCs w:val="0"/>
          <w:color w:val="000000"/>
          <w:kern w:val="2"/>
          <w:sz w:val="28"/>
          <w:szCs w:val="28"/>
          <w:lang w:val="en-US" w:eastAsia="zh-CN" w:bidi="ar-SA"/>
        </w:rPr>
        <w:t>四</w:t>
      </w:r>
      <w:r>
        <w:rPr>
          <w:rFonts w:hint="default" w:ascii="宋体" w:hAnsi="宋体" w:eastAsia="宋体" w:cs="宋体"/>
          <w:bCs w:val="0"/>
          <w:color w:val="000000"/>
          <w:kern w:val="2"/>
          <w:sz w:val="28"/>
          <w:szCs w:val="28"/>
          <w:lang w:val="en-US" w:eastAsia="zh-CN" w:bidi="ar-SA"/>
        </w:rPr>
        <w:t>级评审制度</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建立公开透明的遴选机制，确保程序公正、过程公开、结果公平。</w:t>
      </w:r>
      <w:r>
        <w:rPr>
          <w:rFonts w:hint="default" w:ascii="宋体" w:hAnsi="宋体" w:eastAsia="宋体" w:cs="宋体"/>
          <w:b/>
          <w:bCs/>
          <w:color w:val="000000"/>
          <w:kern w:val="0"/>
          <w:sz w:val="28"/>
          <w:szCs w:val="28"/>
          <w:lang w:val="en-US" w:eastAsia="zh-CN" w:bidi="ar"/>
        </w:rPr>
        <w:t>③</w:t>
      </w:r>
      <w:r>
        <w:rPr>
          <w:rFonts w:hint="default" w:ascii="宋体" w:hAnsi="宋体" w:eastAsia="宋体" w:cs="宋体"/>
          <w:b/>
          <w:bCs/>
          <w:color w:val="000000"/>
          <w:kern w:val="2"/>
          <w:sz w:val="28"/>
          <w:szCs w:val="28"/>
          <w:lang w:val="en-US" w:eastAsia="zh-CN" w:bidi="ar-SA"/>
        </w:rPr>
        <w:t>动态管理科学化</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将学术业绩、培养质量、科研经费等指标纳入考核范畴</w:t>
      </w:r>
      <w:r>
        <w:rPr>
          <w:rFonts w:hint="eastAsia" w:ascii="宋体" w:hAnsi="宋体" w:eastAsia="宋体" w:cs="宋体"/>
          <w:b w:val="0"/>
          <w:bCs/>
          <w:color w:val="auto"/>
          <w:sz w:val="28"/>
          <w:szCs w:val="28"/>
        </w:rPr>
        <w:t>核定招生资格</w:t>
      </w:r>
      <w:r>
        <w:rPr>
          <w:rFonts w:hint="eastAsia" w:ascii="宋体" w:hAnsi="宋体" w:eastAsia="宋体" w:cs="宋体"/>
          <w:b w:val="0"/>
          <w:bCs/>
          <w:color w:val="auto"/>
          <w:sz w:val="28"/>
          <w:szCs w:val="28"/>
          <w:lang w:eastAsia="zh-CN"/>
        </w:rPr>
        <w:t>，</w:t>
      </w:r>
      <w:r>
        <w:rPr>
          <w:rFonts w:hint="default" w:ascii="宋体" w:hAnsi="宋体" w:eastAsia="宋体" w:cs="宋体"/>
          <w:bCs w:val="0"/>
          <w:color w:val="000000"/>
          <w:kern w:val="2"/>
          <w:sz w:val="28"/>
          <w:szCs w:val="28"/>
          <w:lang w:val="en-US" w:eastAsia="zh-CN" w:bidi="ar-SA"/>
        </w:rPr>
        <w:t>实行</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能上能下</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的动态管理机制，强化导师岗位责任意识。</w:t>
      </w:r>
    </w:p>
    <w:p w14:paraId="0DC6888E">
      <w:pPr>
        <w:spacing w:line="240" w:lineRule="auto"/>
        <w:ind w:left="559" w:leftChars="266" w:firstLine="0" w:firstLineChars="0"/>
        <w:rPr>
          <w:rFonts w:hint="default"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2.1</w:t>
      </w:r>
      <w:r>
        <w:rPr>
          <w:rFonts w:hint="default" w:ascii="宋体" w:hAnsi="宋体" w:eastAsia="宋体" w:cs="宋体"/>
          <w:b/>
          <w:bCs w:val="0"/>
          <w:color w:val="auto"/>
          <w:kern w:val="2"/>
          <w:sz w:val="28"/>
          <w:szCs w:val="28"/>
          <w:lang w:val="en-US" w:eastAsia="zh-CN" w:bidi="ar-SA"/>
        </w:rPr>
        <w:t>.2 导师培训</w:t>
      </w:r>
    </w:p>
    <w:p w14:paraId="28CEEACB">
      <w:pPr>
        <w:spacing w:line="240" w:lineRule="auto"/>
        <w:ind w:firstLine="560" w:firstLineChars="200"/>
        <w:rPr>
          <w:rFonts w:hint="eastAsia" w:ascii="宋体" w:hAnsi="宋体" w:eastAsia="宋体" w:cs="宋体"/>
          <w:b w:val="0"/>
          <w:bCs/>
          <w:color w:val="auto"/>
          <w:kern w:val="2"/>
          <w:sz w:val="28"/>
          <w:szCs w:val="28"/>
          <w:lang w:val="en-US" w:eastAsia="zh-CN" w:bidi="ar-SA"/>
        </w:rPr>
      </w:pPr>
      <w:r>
        <w:rPr>
          <w:rFonts w:hint="eastAsia" w:ascii="宋体" w:hAnsi="宋体" w:eastAsia="宋体" w:cs="宋体"/>
          <w:b w:val="0"/>
          <w:bCs w:val="0"/>
          <w:color w:val="000000"/>
          <w:kern w:val="2"/>
          <w:sz w:val="28"/>
          <w:szCs w:val="28"/>
          <w:lang w:val="en-US" w:eastAsia="zh-CN" w:bidi="ar-SA"/>
        </w:rPr>
        <w:t>严格按照《</w:t>
      </w:r>
      <w:r>
        <w:rPr>
          <w:rFonts w:hint="eastAsia" w:ascii="宋体" w:hAnsi="宋体" w:eastAsia="宋体" w:cs="宋体"/>
          <w:color w:val="auto"/>
          <w:sz w:val="28"/>
          <w:szCs w:val="28"/>
          <w:lang w:eastAsia="zh-CN"/>
        </w:rPr>
        <w:t>河南</w:t>
      </w:r>
      <w:r>
        <w:rPr>
          <w:rFonts w:hint="eastAsia" w:ascii="宋体" w:hAnsi="宋体" w:eastAsia="宋体" w:cs="宋体"/>
          <w:color w:val="auto"/>
          <w:sz w:val="28"/>
          <w:szCs w:val="28"/>
        </w:rPr>
        <w:t>中医药大学研究生</w:t>
      </w:r>
      <w:r>
        <w:rPr>
          <w:rFonts w:hint="eastAsia" w:ascii="宋体" w:hAnsi="宋体" w:eastAsia="宋体" w:cs="宋体"/>
          <w:color w:val="auto"/>
          <w:sz w:val="28"/>
          <w:szCs w:val="28"/>
          <w:lang w:eastAsia="zh-CN"/>
        </w:rPr>
        <w:t>指导教师工作条例</w:t>
      </w:r>
      <w:r>
        <w:rPr>
          <w:rFonts w:hint="eastAsia" w:ascii="宋体" w:hAnsi="宋体" w:eastAsia="宋体" w:cs="宋体"/>
          <w:b w:val="0"/>
          <w:bCs w:val="0"/>
          <w:color w:val="000000"/>
          <w:kern w:val="2"/>
          <w:sz w:val="28"/>
          <w:szCs w:val="28"/>
          <w:lang w:val="en-US" w:eastAsia="zh-CN" w:bidi="ar-SA"/>
        </w:rPr>
        <w:t>》、《河南中医药大学关于全面落实研究生导师立德树人职责实施细则》等文件，</w:t>
      </w:r>
      <w:r>
        <w:rPr>
          <w:rFonts w:hint="default" w:ascii="宋体" w:hAnsi="宋体" w:eastAsia="宋体" w:cs="宋体"/>
          <w:b w:val="0"/>
          <w:bCs/>
          <w:color w:val="auto"/>
          <w:kern w:val="2"/>
          <w:sz w:val="28"/>
          <w:szCs w:val="28"/>
          <w:lang w:val="en-US" w:eastAsia="zh-CN" w:bidi="ar-SA"/>
        </w:rPr>
        <w:t>构建全方位、多层次的导师培训机制</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bCs/>
          <w:color w:val="000000"/>
          <w:kern w:val="2"/>
          <w:sz w:val="28"/>
          <w:szCs w:val="28"/>
          <w:lang w:val="en-US" w:eastAsia="zh-CN" w:bidi="ar-SA"/>
        </w:rPr>
        <w:t>①</w:t>
      </w:r>
      <w:r>
        <w:rPr>
          <w:rFonts w:hint="default" w:ascii="宋体" w:hAnsi="宋体" w:eastAsia="宋体" w:cs="宋体"/>
          <w:b/>
          <w:bCs w:val="0"/>
          <w:color w:val="auto"/>
          <w:kern w:val="2"/>
          <w:sz w:val="28"/>
          <w:szCs w:val="28"/>
          <w:lang w:val="en-US" w:eastAsia="zh-CN" w:bidi="ar-SA"/>
        </w:rPr>
        <w:t>培训机制系统化</w:t>
      </w:r>
      <w:r>
        <w:rPr>
          <w:rFonts w:hint="eastAsia" w:ascii="宋体" w:hAnsi="宋体" w:eastAsia="宋体" w:cs="宋体"/>
          <w:b/>
          <w:bCs w:val="0"/>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建立</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岗前培训-在岗培训-专项培训</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三级培训体系；实施培训效果评估制度，将培训考核结果纳入导师年度考核。</w:t>
      </w:r>
      <w:r>
        <w:rPr>
          <w:rFonts w:hint="default" w:ascii="宋体" w:hAnsi="宋体" w:eastAsia="宋体" w:cs="宋体"/>
          <w:b/>
          <w:bCs/>
          <w:color w:val="000000"/>
          <w:kern w:val="2"/>
          <w:sz w:val="28"/>
          <w:szCs w:val="28"/>
          <w:lang w:val="en-US" w:eastAsia="zh-CN" w:bidi="ar-SA"/>
        </w:rPr>
        <w:t>②</w:t>
      </w:r>
      <w:r>
        <w:rPr>
          <w:rFonts w:hint="default" w:ascii="宋体" w:hAnsi="宋体" w:eastAsia="宋体" w:cs="宋体"/>
          <w:b/>
          <w:bCs/>
          <w:color w:val="auto"/>
          <w:kern w:val="2"/>
          <w:sz w:val="28"/>
          <w:szCs w:val="28"/>
          <w:lang w:val="en-US" w:eastAsia="zh-CN" w:bidi="ar-SA"/>
        </w:rPr>
        <w:t>培训形式多元化</w:t>
      </w:r>
      <w:r>
        <w:rPr>
          <w:rFonts w:hint="eastAsia" w:ascii="宋体" w:hAnsi="宋体" w:eastAsia="宋体" w:cs="宋体"/>
          <w:b/>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线上开展常态化</w:t>
      </w:r>
      <w:r>
        <w:rPr>
          <w:rFonts w:hint="eastAsia" w:ascii="宋体" w:hAnsi="宋体" w:eastAsia="宋体" w:cs="宋体"/>
          <w:b w:val="0"/>
          <w:bCs/>
          <w:color w:val="auto"/>
          <w:kern w:val="2"/>
          <w:sz w:val="28"/>
          <w:szCs w:val="28"/>
          <w:lang w:val="en-US" w:eastAsia="zh-CN" w:bidi="ar-SA"/>
        </w:rPr>
        <w:t>培训</w:t>
      </w:r>
      <w:r>
        <w:rPr>
          <w:rFonts w:hint="default" w:ascii="宋体" w:hAnsi="宋体" w:eastAsia="宋体" w:cs="宋体"/>
          <w:b w:val="0"/>
          <w:bCs/>
          <w:color w:val="auto"/>
          <w:kern w:val="2"/>
          <w:sz w:val="28"/>
          <w:szCs w:val="28"/>
          <w:lang w:val="en-US" w:eastAsia="zh-CN" w:bidi="ar-SA"/>
        </w:rPr>
        <w:t>学习；线下组织专家报告、经验分享、学术沙龙等多样化活动</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2020年累计开展各类培训1</w:t>
      </w:r>
      <w:r>
        <w:rPr>
          <w:rFonts w:hint="eastAsia" w:ascii="宋体" w:hAnsi="宋体" w:eastAsia="宋体" w:cs="宋体"/>
          <w:b w:val="0"/>
          <w:bCs/>
          <w:color w:val="auto"/>
          <w:kern w:val="2"/>
          <w:sz w:val="28"/>
          <w:szCs w:val="28"/>
          <w:lang w:val="en-US" w:eastAsia="zh-CN" w:bidi="ar-SA"/>
        </w:rPr>
        <w:t>4</w:t>
      </w:r>
      <w:r>
        <w:rPr>
          <w:rFonts w:hint="default" w:ascii="宋体" w:hAnsi="宋体" w:eastAsia="宋体" w:cs="宋体"/>
          <w:b w:val="0"/>
          <w:bCs/>
          <w:color w:val="auto"/>
          <w:kern w:val="2"/>
          <w:sz w:val="28"/>
          <w:szCs w:val="28"/>
          <w:lang w:val="en-US" w:eastAsia="zh-CN" w:bidi="ar-SA"/>
        </w:rPr>
        <w:t>次</w:t>
      </w:r>
      <w:r>
        <w:rPr>
          <w:rFonts w:hint="eastAsia" w:ascii="宋体" w:hAnsi="宋体" w:eastAsia="宋体" w:cs="宋体"/>
          <w:b w:val="0"/>
          <w:bCs/>
          <w:color w:val="auto"/>
          <w:kern w:val="2"/>
          <w:sz w:val="28"/>
          <w:szCs w:val="28"/>
          <w:lang w:val="en-US" w:eastAsia="zh-CN" w:bidi="ar-SA"/>
        </w:rPr>
        <w:t>、培训人数945人次</w:t>
      </w:r>
      <w:r>
        <w:rPr>
          <w:rFonts w:hint="default" w:ascii="宋体" w:hAnsi="宋体" w:eastAsia="宋体" w:cs="宋体"/>
          <w:b w:val="0"/>
          <w:bCs/>
          <w:color w:val="auto"/>
          <w:kern w:val="2"/>
          <w:sz w:val="28"/>
          <w:szCs w:val="28"/>
          <w:lang w:val="en-US" w:eastAsia="zh-CN" w:bidi="ar-SA"/>
        </w:rPr>
        <w:t>，实现导师培训全覆盖。</w:t>
      </w:r>
      <w:r>
        <w:rPr>
          <w:rFonts w:hint="default" w:ascii="宋体" w:hAnsi="宋体" w:eastAsia="宋体" w:cs="宋体"/>
          <w:b/>
          <w:bCs/>
          <w:color w:val="000000"/>
          <w:kern w:val="0"/>
          <w:sz w:val="28"/>
          <w:szCs w:val="28"/>
          <w:lang w:val="en-US" w:eastAsia="zh-CN" w:bidi="ar"/>
        </w:rPr>
        <w:t>③</w:t>
      </w:r>
      <w:r>
        <w:rPr>
          <w:rFonts w:hint="default" w:ascii="宋体" w:hAnsi="宋体" w:eastAsia="宋体" w:cs="宋体"/>
          <w:b/>
          <w:bCs/>
          <w:color w:val="auto"/>
          <w:kern w:val="2"/>
          <w:sz w:val="28"/>
          <w:szCs w:val="28"/>
          <w:lang w:val="en-US" w:eastAsia="zh-CN" w:bidi="ar-SA"/>
        </w:rPr>
        <w:t>培训方案精准化</w:t>
      </w:r>
      <w:r>
        <w:rPr>
          <w:rFonts w:hint="eastAsia" w:ascii="宋体" w:hAnsi="宋体" w:eastAsia="宋体" w:cs="宋体"/>
          <w:b/>
          <w:bCs/>
          <w:color w:val="auto"/>
          <w:kern w:val="2"/>
          <w:sz w:val="28"/>
          <w:szCs w:val="28"/>
          <w:lang w:val="en-US" w:eastAsia="zh-CN" w:bidi="ar-SA"/>
        </w:rPr>
        <w:t>。</w:t>
      </w:r>
      <w:r>
        <w:rPr>
          <w:rFonts w:hint="eastAsia" w:ascii="宋体" w:hAnsi="宋体" w:eastAsia="宋体" w:cs="宋体"/>
          <w:b w:val="0"/>
          <w:bCs/>
          <w:color w:val="auto"/>
          <w:kern w:val="2"/>
          <w:sz w:val="28"/>
          <w:szCs w:val="28"/>
          <w:lang w:val="en-US" w:eastAsia="zh-CN" w:bidi="ar-SA"/>
        </w:rPr>
        <w:t>实施</w:t>
      </w:r>
      <w:r>
        <w:rPr>
          <w:rFonts w:hint="default" w:ascii="宋体" w:hAnsi="宋体" w:eastAsia="宋体" w:cs="宋体"/>
          <w:b w:val="0"/>
          <w:bCs/>
          <w:color w:val="auto"/>
          <w:kern w:val="2"/>
          <w:sz w:val="28"/>
          <w:szCs w:val="28"/>
          <w:lang w:val="en-US" w:eastAsia="zh-CN" w:bidi="ar-SA"/>
        </w:rPr>
        <w:t>新聘导师侧重岗位职责培训</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在岗导师强化能力提升培训</w:t>
      </w:r>
      <w:r>
        <w:rPr>
          <w:rFonts w:hint="eastAsia" w:ascii="宋体" w:hAnsi="宋体" w:eastAsia="宋体" w:cs="宋体"/>
          <w:b w:val="0"/>
          <w:bCs/>
          <w:color w:val="auto"/>
          <w:kern w:val="2"/>
          <w:sz w:val="28"/>
          <w:szCs w:val="28"/>
          <w:lang w:val="en-US" w:eastAsia="zh-CN" w:bidi="ar-SA"/>
        </w:rPr>
        <w:t>的</w:t>
      </w:r>
      <w:r>
        <w:rPr>
          <w:rFonts w:hint="default" w:ascii="宋体" w:hAnsi="宋体" w:eastAsia="宋体" w:cs="宋体"/>
          <w:b w:val="0"/>
          <w:bCs/>
          <w:color w:val="auto"/>
          <w:kern w:val="2"/>
          <w:sz w:val="28"/>
          <w:szCs w:val="28"/>
          <w:lang w:val="en-US" w:eastAsia="zh-CN" w:bidi="ar-SA"/>
        </w:rPr>
        <w:t>分类培训</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开展师德师风、指导方法、学术规范等专题培训</w:t>
      </w:r>
      <w:r>
        <w:rPr>
          <w:rFonts w:hint="eastAsia" w:ascii="宋体" w:hAnsi="宋体" w:eastAsia="宋体" w:cs="宋体"/>
          <w:b w:val="0"/>
          <w:bCs/>
          <w:color w:val="auto"/>
          <w:kern w:val="2"/>
          <w:sz w:val="28"/>
          <w:szCs w:val="28"/>
          <w:lang w:val="en-US" w:eastAsia="zh-CN" w:bidi="ar-SA"/>
        </w:rPr>
        <w:t>；并</w:t>
      </w:r>
      <w:r>
        <w:rPr>
          <w:rFonts w:hint="default" w:ascii="宋体" w:hAnsi="宋体" w:eastAsia="宋体" w:cs="宋体"/>
          <w:b w:val="0"/>
          <w:bCs/>
          <w:color w:val="auto"/>
          <w:kern w:val="2"/>
          <w:sz w:val="28"/>
          <w:szCs w:val="28"/>
          <w:lang w:val="en-US" w:eastAsia="zh-CN" w:bidi="ar-SA"/>
        </w:rPr>
        <w:t>建立培训档案，实施跟踪评估，确保培训实效。</w:t>
      </w:r>
    </w:p>
    <w:p w14:paraId="69100FFD">
      <w:pPr>
        <w:spacing w:line="240" w:lineRule="auto"/>
        <w:ind w:left="559" w:leftChars="266" w:firstLine="0" w:firstLineChars="0"/>
        <w:rPr>
          <w:rFonts w:hint="default" w:ascii="宋体" w:hAnsi="宋体" w:eastAsia="宋体" w:cs="宋体"/>
          <w:b/>
          <w:bCs w:val="0"/>
          <w:color w:val="auto"/>
          <w:kern w:val="2"/>
          <w:sz w:val="28"/>
          <w:szCs w:val="28"/>
          <w:lang w:val="en-US" w:eastAsia="zh-CN" w:bidi="ar-SA"/>
        </w:rPr>
      </w:pPr>
      <w:r>
        <w:rPr>
          <w:rFonts w:hint="eastAsia" w:ascii="宋体" w:hAnsi="宋体" w:eastAsia="宋体" w:cs="宋体"/>
          <w:b/>
          <w:bCs w:val="0"/>
          <w:color w:val="auto"/>
          <w:kern w:val="2"/>
          <w:sz w:val="28"/>
          <w:szCs w:val="28"/>
          <w:lang w:val="en-US" w:eastAsia="zh-CN" w:bidi="ar-SA"/>
        </w:rPr>
        <w:t>2.1</w:t>
      </w:r>
      <w:r>
        <w:rPr>
          <w:rFonts w:hint="default" w:ascii="宋体" w:hAnsi="宋体" w:eastAsia="宋体" w:cs="宋体"/>
          <w:b/>
          <w:bCs w:val="0"/>
          <w:color w:val="auto"/>
          <w:kern w:val="2"/>
          <w:sz w:val="28"/>
          <w:szCs w:val="28"/>
          <w:lang w:val="en-US" w:eastAsia="zh-CN" w:bidi="ar-SA"/>
        </w:rPr>
        <w:t>.3 导师考核评价</w:t>
      </w:r>
    </w:p>
    <w:p w14:paraId="191A564F">
      <w:pPr>
        <w:spacing w:line="240" w:lineRule="auto"/>
        <w:ind w:firstLine="560" w:firstLineChars="200"/>
        <w:rPr>
          <w:rFonts w:hint="default"/>
          <w:lang w:val="en-US" w:eastAsia="zh-CN"/>
        </w:rPr>
      </w:pPr>
      <w:r>
        <w:rPr>
          <w:rFonts w:hint="default" w:ascii="宋体" w:hAnsi="宋体" w:eastAsia="宋体" w:cs="宋体"/>
          <w:b w:val="0"/>
          <w:bCs/>
          <w:color w:val="auto"/>
          <w:kern w:val="2"/>
          <w:sz w:val="28"/>
          <w:szCs w:val="28"/>
          <w:lang w:val="en-US" w:eastAsia="zh-CN" w:bidi="ar-SA"/>
        </w:rPr>
        <w:t>严格执行《河南中医药大学研究生指导教师考核办法》，建立科学的考核机制</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bCs/>
          <w:color w:val="auto"/>
          <w:kern w:val="0"/>
          <w:sz w:val="28"/>
          <w:szCs w:val="28"/>
          <w:lang w:val="en-US" w:eastAsia="zh-CN" w:bidi="ar"/>
        </w:rPr>
        <w:t>①</w:t>
      </w:r>
      <w:r>
        <w:rPr>
          <w:rFonts w:hint="default" w:ascii="宋体" w:hAnsi="宋体" w:eastAsia="宋体" w:cs="宋体"/>
          <w:b/>
          <w:bCs w:val="0"/>
          <w:color w:val="auto"/>
          <w:kern w:val="2"/>
          <w:sz w:val="28"/>
          <w:szCs w:val="28"/>
          <w:lang w:val="en-US" w:eastAsia="zh-CN" w:bidi="ar-SA"/>
        </w:rPr>
        <w:t>考核指标体系</w:t>
      </w:r>
      <w:r>
        <w:rPr>
          <w:rFonts w:hint="eastAsia" w:ascii="宋体" w:hAnsi="宋体" w:eastAsia="宋体" w:cs="宋体"/>
          <w:b/>
          <w:bCs w:val="0"/>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实行</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德、能、勤、绩</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四位一体考核模式；将师德师风作为首要指标，实行一票否决制；考核指标，</w:t>
      </w:r>
      <w:r>
        <w:rPr>
          <w:rFonts w:hint="eastAsia" w:ascii="宋体" w:hAnsi="宋体" w:eastAsia="宋体" w:cs="宋体"/>
          <w:b w:val="0"/>
          <w:bCs/>
          <w:color w:val="auto"/>
          <w:kern w:val="2"/>
          <w:sz w:val="28"/>
          <w:szCs w:val="28"/>
          <w:lang w:val="en-US" w:eastAsia="zh-CN" w:bidi="ar-SA"/>
        </w:rPr>
        <w:t>涵盖</w:t>
      </w:r>
      <w:r>
        <w:rPr>
          <w:rFonts w:hint="default" w:ascii="宋体" w:hAnsi="宋体" w:eastAsia="宋体" w:cs="宋体"/>
          <w:b w:val="0"/>
          <w:bCs/>
          <w:color w:val="auto"/>
          <w:kern w:val="2"/>
          <w:sz w:val="28"/>
          <w:szCs w:val="28"/>
          <w:lang w:val="en-US" w:eastAsia="zh-CN" w:bidi="ar-SA"/>
        </w:rPr>
        <w:t>科研项目、学术成果、培养质量等</w:t>
      </w:r>
      <w:r>
        <w:rPr>
          <w:rFonts w:hint="eastAsia" w:ascii="宋体" w:hAnsi="宋体" w:eastAsia="宋体" w:cs="宋体"/>
          <w:b w:val="0"/>
          <w:bCs/>
          <w:color w:val="auto"/>
          <w:kern w:val="2"/>
          <w:sz w:val="28"/>
          <w:szCs w:val="28"/>
          <w:lang w:val="en-US" w:eastAsia="zh-CN" w:bidi="ar-SA"/>
        </w:rPr>
        <w:t>方面</w:t>
      </w:r>
      <w:r>
        <w:rPr>
          <w:rFonts w:hint="default" w:ascii="宋体" w:hAnsi="宋体" w:eastAsia="宋体" w:cs="宋体"/>
          <w:b w:val="0"/>
          <w:bCs/>
          <w:color w:val="auto"/>
          <w:kern w:val="2"/>
          <w:sz w:val="28"/>
          <w:szCs w:val="28"/>
          <w:lang w:val="en-US" w:eastAsia="zh-CN" w:bidi="ar-SA"/>
        </w:rPr>
        <w:t>。</w:t>
      </w:r>
      <w:r>
        <w:rPr>
          <w:rFonts w:hint="eastAsia" w:ascii="宋体" w:hAnsi="宋体" w:eastAsia="宋体" w:cs="宋体"/>
          <w:b w:val="0"/>
          <w:bCs/>
          <w:color w:val="auto"/>
          <w:kern w:val="2"/>
          <w:sz w:val="28"/>
          <w:szCs w:val="28"/>
          <w:lang w:val="en-US" w:eastAsia="zh-CN" w:bidi="ar-SA"/>
        </w:rPr>
        <w:t>2020年学位点导师考核全部合格。</w:t>
      </w:r>
      <w:r>
        <w:rPr>
          <w:rFonts w:hint="default" w:ascii="宋体" w:hAnsi="宋体" w:eastAsia="宋体" w:cs="宋体"/>
          <w:b/>
          <w:bCs/>
          <w:color w:val="000000"/>
          <w:kern w:val="0"/>
          <w:sz w:val="28"/>
          <w:szCs w:val="28"/>
          <w:lang w:val="en-US" w:eastAsia="zh-CN" w:bidi="ar"/>
        </w:rPr>
        <w:t>②</w:t>
      </w:r>
      <w:r>
        <w:rPr>
          <w:rFonts w:hint="default" w:ascii="宋体" w:hAnsi="宋体" w:eastAsia="宋体" w:cs="宋体"/>
          <w:b/>
          <w:bCs w:val="0"/>
          <w:color w:val="auto"/>
          <w:kern w:val="2"/>
          <w:sz w:val="28"/>
          <w:szCs w:val="28"/>
          <w:lang w:val="en-US" w:eastAsia="zh-CN" w:bidi="ar-SA"/>
        </w:rPr>
        <w:t>考核结果运用</w:t>
      </w:r>
      <w:r>
        <w:rPr>
          <w:rFonts w:hint="eastAsia" w:ascii="宋体" w:hAnsi="宋体" w:eastAsia="宋体" w:cs="宋体"/>
          <w:b/>
          <w:bCs w:val="0"/>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建立</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预警-整改-退出</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机制</w:t>
      </w:r>
      <w:r>
        <w:rPr>
          <w:rFonts w:hint="eastAsia" w:ascii="宋体" w:hAnsi="宋体" w:eastAsia="宋体" w:cs="宋体"/>
          <w:b w:val="0"/>
          <w:bCs/>
          <w:color w:val="auto"/>
          <w:kern w:val="2"/>
          <w:sz w:val="28"/>
          <w:szCs w:val="28"/>
          <w:lang w:val="en-US" w:eastAsia="zh-CN" w:bidi="ar-SA"/>
        </w:rPr>
        <w:t>，</w:t>
      </w:r>
      <w:r>
        <w:rPr>
          <w:rFonts w:hint="default" w:ascii="宋体" w:hAnsi="宋体" w:eastAsia="宋体" w:cs="宋体"/>
          <w:b w:val="0"/>
          <w:bCs/>
          <w:color w:val="auto"/>
          <w:kern w:val="2"/>
          <w:sz w:val="28"/>
          <w:szCs w:val="28"/>
          <w:lang w:val="en-US" w:eastAsia="zh-CN" w:bidi="ar-SA"/>
        </w:rPr>
        <w:t>考核不合格者限制招生，连续两次不合格者停止招生，三次不合格者取消资格；取消资格者需重新参加遴选方可恢复招生资格。</w:t>
      </w:r>
    </w:p>
    <w:p w14:paraId="4C050226">
      <w:pPr>
        <w:numPr>
          <w:ilvl w:val="0"/>
          <w:numId w:val="0"/>
        </w:numPr>
        <w:spacing w:line="240" w:lineRule="auto"/>
        <w:ind w:firstLine="562" w:firstLineChars="200"/>
        <w:jc w:val="both"/>
        <w:rPr>
          <w:rFonts w:hint="eastAsia" w:ascii="宋体" w:hAnsi="宋体" w:eastAsia="宋体" w:cs="仿宋"/>
          <w:sz w:val="28"/>
          <w:szCs w:val="28"/>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三</w:t>
      </w:r>
      <w:r>
        <w:rPr>
          <w:rFonts w:hint="eastAsia" w:ascii="宋体" w:hAnsi="宋体" w:eastAsia="宋体" w:cs="仿宋"/>
          <w:b/>
          <w:bCs/>
          <w:sz w:val="28"/>
          <w:szCs w:val="28"/>
          <w:lang w:eastAsia="zh-CN"/>
        </w:rPr>
        <w:t>）</w:t>
      </w:r>
      <w:r>
        <w:rPr>
          <w:rFonts w:hint="eastAsia" w:ascii="宋体" w:hAnsi="宋体" w:eastAsia="宋体" w:cs="仿宋"/>
          <w:b/>
          <w:bCs/>
          <w:sz w:val="28"/>
          <w:szCs w:val="28"/>
        </w:rPr>
        <w:t>培养条件建设</w:t>
      </w:r>
    </w:p>
    <w:p w14:paraId="27C66537">
      <w:pPr>
        <w:keepNext w:val="0"/>
        <w:keepLines w:val="0"/>
        <w:widowControl/>
        <w:numPr>
          <w:ilvl w:val="0"/>
          <w:numId w:val="0"/>
        </w:numPr>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3.1教学科研支撑</w:t>
      </w:r>
    </w:p>
    <w:p w14:paraId="3DC7E38C">
      <w:pPr>
        <w:keepNext w:val="0"/>
        <w:keepLines w:val="0"/>
        <w:widowControl/>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3.1.1重点专科和科研平台</w:t>
      </w:r>
    </w:p>
    <w:p w14:paraId="7CB46528">
      <w:pPr>
        <w:keepNext w:val="0"/>
        <w:keepLines w:val="0"/>
        <w:widowControl/>
        <w:suppressLineNumbers w:val="0"/>
        <w:spacing w:line="240" w:lineRule="auto"/>
        <w:ind w:firstLine="560" w:firstLineChars="200"/>
        <w:jc w:val="left"/>
        <w:rPr>
          <w:rFonts w:hint="eastAsia" w:ascii="宋体" w:hAnsi="宋体" w:eastAsia="宋体" w:cs="宋体"/>
          <w:bCs w:val="0"/>
          <w:color w:val="auto"/>
          <w:kern w:val="0"/>
          <w:sz w:val="28"/>
          <w:szCs w:val="28"/>
          <w:lang w:val="en-US" w:eastAsia="zh-CN" w:bidi="ar"/>
        </w:rPr>
      </w:pPr>
      <w:r>
        <w:rPr>
          <w:rFonts w:hint="eastAsia" w:ascii="宋体" w:hAnsi="宋体" w:eastAsia="宋体" w:cs="宋体"/>
          <w:color w:val="auto"/>
          <w:kern w:val="0"/>
          <w:sz w:val="28"/>
          <w:szCs w:val="28"/>
          <w:lang w:val="en-US" w:eastAsia="zh-CN" w:bidi="ar"/>
        </w:rPr>
        <w:t>学位点现</w:t>
      </w:r>
      <w:r>
        <w:rPr>
          <w:rFonts w:hint="eastAsia" w:ascii="宋体" w:hAnsi="宋体" w:eastAsia="宋体" w:cs="宋体"/>
          <w:bCs w:val="0"/>
          <w:color w:val="auto"/>
          <w:kern w:val="0"/>
          <w:sz w:val="28"/>
          <w:szCs w:val="28"/>
          <w:lang w:val="en-US" w:eastAsia="zh-CN" w:bidi="ar"/>
        </w:rPr>
        <w:t>拥有国家中医临床研究基地 2 个，省部共建协同创新中心1个，省部级科研平台 20 个；国家区域专科诊疗中心6个，卫生部/国家中管局重点专科13个，河南省中管局重点专科16个，国家中医药管理局重点学科20个。</w:t>
      </w:r>
    </w:p>
    <w:p w14:paraId="1DEB0024">
      <w:pPr>
        <w:keepNext w:val="0"/>
        <w:keepLines w:val="0"/>
        <w:widowControl/>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3.1.2教学设施情况</w:t>
      </w:r>
    </w:p>
    <w:p w14:paraId="79AF34DC">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default" w:ascii="宋体" w:hAnsi="宋体" w:eastAsia="宋体" w:cs="宋体"/>
          <w:b/>
          <w:bCs/>
          <w:color w:val="auto"/>
          <w:kern w:val="0"/>
          <w:sz w:val="28"/>
          <w:szCs w:val="28"/>
          <w:lang w:val="en-US" w:eastAsia="zh-CN" w:bidi="ar"/>
        </w:rPr>
        <w:t>①</w:t>
      </w:r>
      <w:r>
        <w:rPr>
          <w:rFonts w:hint="eastAsia" w:ascii="宋体" w:hAnsi="宋体" w:eastAsia="宋体" w:cs="宋体"/>
          <w:b/>
          <w:bCs/>
          <w:color w:val="000000"/>
          <w:kern w:val="0"/>
          <w:sz w:val="28"/>
          <w:szCs w:val="28"/>
          <w:lang w:val="en-US" w:eastAsia="zh-CN" w:bidi="ar"/>
        </w:rPr>
        <w:t>实验教学方面，</w:t>
      </w:r>
      <w:r>
        <w:rPr>
          <w:rFonts w:hint="eastAsia" w:ascii="宋体" w:hAnsi="宋体" w:eastAsia="宋体" w:cs="宋体"/>
          <w:bCs w:val="0"/>
          <w:color w:val="000000"/>
          <w:kern w:val="0"/>
          <w:sz w:val="28"/>
          <w:szCs w:val="28"/>
          <w:lang w:val="en-US" w:eastAsia="zh-CN" w:bidi="ar"/>
        </w:rPr>
        <w:t>建有河南省高等学校实验教学示范中心—中医学实验教学示范中心，</w:t>
      </w:r>
      <w:r>
        <w:rPr>
          <w:rFonts w:hint="eastAsia" w:ascii="宋体" w:hAnsi="宋体" w:eastAsia="宋体" w:cs="宋体"/>
          <w:b w:val="0"/>
          <w:bCs w:val="0"/>
          <w:color w:val="auto"/>
          <w:kern w:val="0"/>
          <w:sz w:val="28"/>
          <w:szCs w:val="28"/>
          <w:lang w:val="en-US" w:eastAsia="zh-CN" w:bidi="ar"/>
        </w:rPr>
        <w:t>实</w:t>
      </w:r>
      <w:r>
        <w:rPr>
          <w:rFonts w:hint="eastAsia" w:ascii="宋体" w:hAnsi="宋体" w:eastAsia="宋体" w:cs="宋体"/>
          <w:color w:val="000000"/>
          <w:kern w:val="0"/>
          <w:sz w:val="28"/>
          <w:szCs w:val="28"/>
          <w:lang w:val="en-US" w:eastAsia="zh-CN" w:bidi="ar"/>
        </w:rPr>
        <w:t>验室总面积达15601m</w:t>
      </w:r>
      <w:r>
        <w:rPr>
          <w:rFonts w:hint="eastAsia" w:ascii="宋体" w:hAnsi="宋体" w:eastAsia="宋体" w:cs="宋体"/>
          <w:color w:val="000000"/>
          <w:kern w:val="0"/>
          <w:sz w:val="28"/>
          <w:szCs w:val="28"/>
          <w:vertAlign w:val="superscript"/>
          <w:lang w:val="en-US" w:eastAsia="zh-CN" w:bidi="ar"/>
        </w:rPr>
        <w:t>2</w:t>
      </w:r>
      <w:r>
        <w:rPr>
          <w:rFonts w:hint="eastAsia" w:ascii="宋体" w:hAnsi="宋体" w:eastAsia="宋体" w:cs="宋体"/>
          <w:color w:val="000000"/>
          <w:kern w:val="0"/>
          <w:sz w:val="28"/>
          <w:szCs w:val="28"/>
          <w:lang w:val="en-US" w:eastAsia="zh-CN" w:bidi="ar"/>
        </w:rPr>
        <w:t>，</w:t>
      </w:r>
      <w:r>
        <w:rPr>
          <w:rFonts w:hint="eastAsia" w:ascii="宋体" w:hAnsi="宋体" w:eastAsia="宋体" w:cs="宋体"/>
          <w:bCs w:val="0"/>
          <w:color w:val="000000"/>
          <w:kern w:val="0"/>
          <w:sz w:val="28"/>
          <w:szCs w:val="28"/>
          <w:lang w:val="en-US" w:eastAsia="zh-CN" w:bidi="ar"/>
        </w:rPr>
        <w:t>拥有多种</w:t>
      </w:r>
      <w:r>
        <w:rPr>
          <w:rFonts w:hint="eastAsia" w:ascii="宋体" w:hAnsi="宋体" w:eastAsia="宋体" w:cs="宋体"/>
          <w:color w:val="000000"/>
          <w:kern w:val="0"/>
          <w:sz w:val="28"/>
          <w:szCs w:val="28"/>
          <w:lang w:val="en-US" w:eastAsia="zh-CN" w:bidi="ar"/>
        </w:rPr>
        <w:t>大型仪器设备</w:t>
      </w:r>
      <w:r>
        <w:rPr>
          <w:rFonts w:hint="eastAsia" w:ascii="宋体" w:hAnsi="宋体" w:eastAsia="宋体" w:cs="宋体"/>
          <w:bCs w:val="0"/>
          <w:color w:val="000000"/>
          <w:kern w:val="0"/>
          <w:sz w:val="28"/>
          <w:szCs w:val="28"/>
          <w:lang w:val="en-US" w:eastAsia="zh-CN" w:bidi="ar"/>
        </w:rPr>
        <w:t>，</w:t>
      </w:r>
      <w:r>
        <w:rPr>
          <w:rFonts w:hint="eastAsia" w:ascii="宋体" w:hAnsi="宋体" w:eastAsia="宋体" w:cs="宋体"/>
          <w:color w:val="000000"/>
          <w:kern w:val="0"/>
          <w:sz w:val="28"/>
          <w:szCs w:val="28"/>
          <w:lang w:val="en-US" w:eastAsia="zh-CN" w:bidi="ar"/>
        </w:rPr>
        <w:t>仪器设备总值4.2亿元</w:t>
      </w:r>
      <w:r>
        <w:rPr>
          <w:rFonts w:hint="eastAsia" w:ascii="宋体" w:hAnsi="宋体" w:eastAsia="宋体" w:cs="宋体"/>
          <w:bCs w:val="0"/>
          <w:color w:val="000000"/>
          <w:kern w:val="0"/>
          <w:sz w:val="28"/>
          <w:szCs w:val="28"/>
          <w:lang w:val="en-US" w:eastAsia="zh-CN" w:bidi="ar"/>
        </w:rPr>
        <w:t>。</w:t>
      </w:r>
      <w:r>
        <w:rPr>
          <w:rFonts w:hint="default" w:ascii="宋体" w:hAnsi="宋体" w:eastAsia="宋体" w:cs="宋体"/>
          <w:b/>
          <w:bCs/>
          <w:color w:val="000000"/>
          <w:kern w:val="0"/>
          <w:sz w:val="28"/>
          <w:szCs w:val="28"/>
          <w:lang w:val="en-US" w:eastAsia="zh-CN" w:bidi="ar"/>
        </w:rPr>
        <w:t>②</w:t>
      </w:r>
      <w:r>
        <w:rPr>
          <w:rFonts w:hint="eastAsia" w:ascii="宋体" w:hAnsi="宋体" w:eastAsia="宋体" w:cs="宋体"/>
          <w:b/>
          <w:bCs/>
          <w:color w:val="auto"/>
          <w:kern w:val="0"/>
          <w:sz w:val="28"/>
          <w:szCs w:val="28"/>
          <w:lang w:val="en-US" w:eastAsia="zh-CN" w:bidi="ar"/>
        </w:rPr>
        <w:t>临床教学方面，</w:t>
      </w:r>
      <w:r>
        <w:rPr>
          <w:rFonts w:hint="eastAsia" w:ascii="宋体" w:hAnsi="宋体" w:eastAsia="宋体" w:cs="宋体"/>
          <w:bCs w:val="0"/>
          <w:color w:val="000000"/>
          <w:kern w:val="0"/>
          <w:sz w:val="28"/>
          <w:szCs w:val="28"/>
          <w:lang w:val="en-US" w:eastAsia="zh-CN" w:bidi="ar"/>
        </w:rPr>
        <w:t>拥有三所附属医院作为临床教学资源，开放床位7257张，充分满足实践教学需求。</w:t>
      </w:r>
      <w:r>
        <w:rPr>
          <w:rFonts w:hint="default" w:ascii="宋体" w:hAnsi="宋体" w:eastAsia="宋体" w:cs="宋体"/>
          <w:b/>
          <w:bCs/>
          <w:color w:val="000000"/>
          <w:kern w:val="0"/>
          <w:sz w:val="28"/>
          <w:szCs w:val="28"/>
          <w:lang w:val="en-US" w:eastAsia="zh-CN" w:bidi="ar"/>
        </w:rPr>
        <w:t>③</w:t>
      </w:r>
      <w:r>
        <w:rPr>
          <w:rFonts w:hint="eastAsia" w:ascii="宋体" w:hAnsi="宋体" w:eastAsia="宋体" w:cs="宋体"/>
          <w:b/>
          <w:bCs/>
          <w:color w:val="000000"/>
          <w:kern w:val="0"/>
          <w:sz w:val="28"/>
          <w:szCs w:val="28"/>
          <w:lang w:val="en-US" w:eastAsia="zh-CN" w:bidi="ar"/>
        </w:rPr>
        <w:t>学术资源方面，</w:t>
      </w:r>
      <w:r>
        <w:rPr>
          <w:rFonts w:hint="eastAsia" w:ascii="宋体" w:hAnsi="宋体" w:eastAsia="宋体" w:cs="宋体"/>
          <w:bCs w:val="0"/>
          <w:color w:val="000000"/>
          <w:kern w:val="0"/>
          <w:sz w:val="28"/>
          <w:szCs w:val="28"/>
          <w:lang w:val="en-US" w:eastAsia="zh-CN" w:bidi="ar"/>
        </w:rPr>
        <w:t>学校图书馆面积3.04万m</w:t>
      </w:r>
      <w:r>
        <w:rPr>
          <w:rFonts w:hint="eastAsia" w:ascii="宋体" w:hAnsi="宋体" w:eastAsia="宋体" w:cs="宋体"/>
          <w:bCs w:val="0"/>
          <w:color w:val="000000"/>
          <w:kern w:val="0"/>
          <w:sz w:val="28"/>
          <w:szCs w:val="28"/>
          <w:vertAlign w:val="superscript"/>
          <w:lang w:val="en-US" w:eastAsia="zh-CN" w:bidi="ar"/>
        </w:rPr>
        <w:t>2</w:t>
      </w:r>
      <w:r>
        <w:rPr>
          <w:rFonts w:hint="eastAsia" w:ascii="宋体" w:hAnsi="宋体" w:eastAsia="宋体" w:cs="宋体"/>
          <w:bCs w:val="0"/>
          <w:color w:val="000000"/>
          <w:kern w:val="0"/>
          <w:sz w:val="28"/>
          <w:szCs w:val="28"/>
          <w:lang w:val="en-US" w:eastAsia="zh-CN" w:bidi="ar"/>
        </w:rPr>
        <w:t>，纸质藏书182万册，电子图书127.02万册，中外文数据库94种，共3837种中外文期刊。</w:t>
      </w:r>
    </w:p>
    <w:p w14:paraId="4A49045C">
      <w:pPr>
        <w:numPr>
          <w:ilvl w:val="0"/>
          <w:numId w:val="0"/>
        </w:numPr>
        <w:spacing w:line="240" w:lineRule="auto"/>
        <w:ind w:firstLine="562" w:firstLineChars="200"/>
        <w:jc w:val="both"/>
        <w:rPr>
          <w:rFonts w:hint="eastAsia" w:ascii="宋体" w:hAnsi="宋体" w:eastAsia="宋体" w:cs="仿宋"/>
          <w:sz w:val="28"/>
          <w:szCs w:val="28"/>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四</w:t>
      </w:r>
      <w:r>
        <w:rPr>
          <w:rFonts w:hint="eastAsia" w:ascii="宋体" w:hAnsi="宋体" w:eastAsia="宋体" w:cs="仿宋"/>
          <w:b/>
          <w:bCs/>
          <w:sz w:val="28"/>
          <w:szCs w:val="28"/>
          <w:lang w:eastAsia="zh-CN"/>
        </w:rPr>
        <w:t>）</w:t>
      </w:r>
      <w:r>
        <w:rPr>
          <w:rFonts w:hint="eastAsia" w:ascii="宋体" w:hAnsi="宋体" w:eastAsia="宋体" w:cs="仿宋"/>
          <w:b/>
          <w:bCs/>
          <w:sz w:val="28"/>
          <w:szCs w:val="28"/>
        </w:rPr>
        <w:t>科学研究工作</w:t>
      </w:r>
    </w:p>
    <w:p w14:paraId="4202FFD1">
      <w:pPr>
        <w:spacing w:line="240" w:lineRule="auto"/>
        <w:ind w:firstLine="560" w:firstLineChars="200"/>
        <w:jc w:val="both"/>
        <w:rPr>
          <w:rFonts w:hint="default"/>
          <w:lang w:val="en-US" w:eastAsia="zh-CN"/>
        </w:rPr>
      </w:pPr>
      <w:r>
        <w:rPr>
          <w:rFonts w:hint="eastAsia" w:ascii="宋体" w:hAnsi="宋体" w:eastAsia="宋体" w:cs="宋体"/>
          <w:color w:val="auto"/>
          <w:sz w:val="28"/>
          <w:szCs w:val="28"/>
          <w:lang w:val="en-US" w:eastAsia="zh-CN"/>
        </w:rPr>
        <w:t>学位点在2020年建设期间，共获批纵向科研课题288项（其中国家级项目15项），总经费2049.6万元；横向课题总经费1162.63万元；获各类科研奖励25项；以第一作者或通讯作者发表中文核心、SCI论文199篇；主编、副主编著作157部；各类型专利、软件著作权133项，转化总经费50万元。</w:t>
      </w:r>
    </w:p>
    <w:p w14:paraId="1350E67D">
      <w:pPr>
        <w:numPr>
          <w:ilvl w:val="0"/>
          <w:numId w:val="0"/>
        </w:numPr>
        <w:spacing w:line="240" w:lineRule="auto"/>
        <w:ind w:firstLine="562" w:firstLineChars="200"/>
        <w:jc w:val="both"/>
        <w:rPr>
          <w:rFonts w:hint="eastAsia" w:ascii="宋体" w:hAnsi="宋体" w:eastAsia="宋体" w:cs="仿宋"/>
          <w:b/>
          <w:bCs/>
          <w:sz w:val="28"/>
          <w:szCs w:val="28"/>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五</w:t>
      </w:r>
      <w:r>
        <w:rPr>
          <w:rFonts w:hint="eastAsia" w:ascii="宋体" w:hAnsi="宋体" w:eastAsia="宋体" w:cs="仿宋"/>
          <w:b/>
          <w:bCs/>
          <w:sz w:val="28"/>
          <w:szCs w:val="28"/>
          <w:lang w:eastAsia="zh-CN"/>
        </w:rPr>
        <w:t>）</w:t>
      </w:r>
      <w:r>
        <w:rPr>
          <w:rFonts w:hint="eastAsia" w:ascii="宋体" w:hAnsi="宋体" w:eastAsia="宋体" w:cs="仿宋"/>
          <w:b/>
          <w:bCs/>
          <w:sz w:val="28"/>
          <w:szCs w:val="28"/>
        </w:rPr>
        <w:t>招生与培养</w:t>
      </w:r>
    </w:p>
    <w:p w14:paraId="098F804C">
      <w:pPr>
        <w:keepNext w:val="0"/>
        <w:keepLines w:val="0"/>
        <w:pageBreakBefore w:val="0"/>
        <w:widowControl w:val="0"/>
        <w:suppressLineNumbers w:val="0"/>
        <w:kinsoku/>
        <w:wordWrap/>
        <w:overflowPunct/>
        <w:topLinePunct w:val="0"/>
        <w:autoSpaceDE/>
        <w:autoSpaceDN/>
        <w:bidi w:val="0"/>
        <w:adjustRightInd/>
        <w:snapToGrid/>
        <w:spacing w:line="240" w:lineRule="auto"/>
        <w:ind w:firstLine="562" w:firstLineChars="200"/>
        <w:jc w:val="left"/>
        <w:textAlignment w:val="auto"/>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2"/>
          <w:sz w:val="28"/>
          <w:szCs w:val="28"/>
          <w:lang w:val="en-US" w:eastAsia="zh-CN" w:bidi="ar-SA"/>
        </w:rPr>
        <w:t>5</w:t>
      </w:r>
      <w:r>
        <w:rPr>
          <w:rFonts w:hint="eastAsia" w:ascii="宋体" w:hAnsi="宋体" w:eastAsia="宋体" w:cs="宋体"/>
          <w:b/>
          <w:bCs/>
          <w:color w:val="000000"/>
          <w:kern w:val="0"/>
          <w:sz w:val="28"/>
          <w:szCs w:val="28"/>
          <w:lang w:val="en-US" w:eastAsia="zh-CN" w:bidi="ar"/>
        </w:rPr>
        <w:t>.1</w:t>
      </w:r>
      <w:r>
        <w:rPr>
          <w:rFonts w:hint="eastAsia" w:ascii="宋体" w:hAnsi="宋体" w:eastAsia="宋体" w:cs="宋体"/>
          <w:b/>
          <w:bCs/>
          <w:color w:val="auto"/>
          <w:sz w:val="28"/>
          <w:szCs w:val="28"/>
        </w:rPr>
        <w:t>学位授权点研究生录取人数情况</w:t>
      </w:r>
    </w:p>
    <w:p w14:paraId="12A2728C">
      <w:pPr>
        <w:pStyle w:val="4"/>
        <w:ind w:firstLine="560" w:firstLineChars="200"/>
        <w:rPr>
          <w:rFonts w:hint="default"/>
          <w:lang w:val="en-US" w:eastAsia="zh-CN"/>
        </w:rPr>
      </w:pPr>
      <w:r>
        <w:rPr>
          <w:rFonts w:hint="eastAsia" w:ascii="宋体" w:hAnsi="宋体" w:eastAsia="宋体" w:cs="宋体"/>
          <w:bCs w:val="0"/>
          <w:color w:val="auto"/>
          <w:kern w:val="0"/>
          <w:sz w:val="28"/>
          <w:szCs w:val="28"/>
          <w:lang w:val="en-US" w:eastAsia="zh-CN" w:bidi="ar"/>
        </w:rPr>
        <w:t>2020年授予医学硕士学位68人。</w:t>
      </w:r>
      <w:r>
        <w:rPr>
          <w:rFonts w:hint="eastAsia" w:ascii="宋体" w:hAnsi="宋体" w:eastAsia="宋体" w:cs="宋体"/>
          <w:bCs w:val="0"/>
          <w:color w:val="000000"/>
          <w:kern w:val="0"/>
          <w:sz w:val="28"/>
          <w:szCs w:val="28"/>
          <w:lang w:val="en-US" w:eastAsia="zh-CN" w:bidi="ar"/>
        </w:rPr>
        <w:t>不断优化生源结构，扩大招生来源，</w:t>
      </w:r>
      <w:r>
        <w:rPr>
          <w:rFonts w:hint="eastAsia" w:ascii="宋体" w:hAnsi="宋体" w:eastAsia="宋体" w:cs="宋体"/>
          <w:bCs w:val="0"/>
          <w:color w:val="000000" w:themeColor="text1"/>
          <w:kern w:val="0"/>
          <w:sz w:val="28"/>
          <w:szCs w:val="28"/>
          <w:lang w:val="en-US" w:eastAsia="zh-CN" w:bidi="ar"/>
          <w14:textFill>
            <w14:solidFill>
              <w14:schemeClr w14:val="tx1"/>
            </w14:solidFill>
          </w14:textFill>
        </w:rPr>
        <w:t>吸引校内外优秀研究生共52人报名，最终录取学术型博士研究生10人，录取率为19.23%。</w:t>
      </w:r>
    </w:p>
    <w:p w14:paraId="39063969">
      <w:pPr>
        <w:keepNext w:val="0"/>
        <w:keepLines w:val="0"/>
        <w:widowControl/>
        <w:suppressLineNumbers w:val="0"/>
        <w:spacing w:line="240" w:lineRule="auto"/>
        <w:ind w:firstLine="562" w:firstLineChars="200"/>
        <w:jc w:val="left"/>
        <w:rPr>
          <w:rFonts w:hint="eastAsia" w:ascii="宋体" w:hAnsi="宋体" w:eastAsia="宋体" w:cs="宋体"/>
          <w:bCs w:val="0"/>
          <w:color w:val="000000"/>
          <w:kern w:val="0"/>
          <w:sz w:val="28"/>
          <w:szCs w:val="28"/>
          <w:lang w:val="en-US" w:eastAsia="zh-CN" w:bidi="ar"/>
        </w:rPr>
      </w:pPr>
      <w:r>
        <w:rPr>
          <w:rFonts w:hint="eastAsia" w:ascii="宋体" w:hAnsi="宋体" w:eastAsia="宋体" w:cs="宋体"/>
          <w:b/>
          <w:bCs/>
          <w:color w:val="000000"/>
          <w:sz w:val="28"/>
          <w:szCs w:val="28"/>
          <w:lang w:val="en-US" w:eastAsia="zh-CN"/>
        </w:rPr>
        <w:t>生源质量控制措施：</w:t>
      </w:r>
      <w:r>
        <w:rPr>
          <w:rFonts w:hint="default" w:ascii="宋体" w:hAnsi="宋体" w:eastAsia="宋体" w:cs="宋体"/>
          <w:b/>
          <w:bCs/>
          <w:color w:val="auto"/>
          <w:kern w:val="0"/>
          <w:sz w:val="28"/>
          <w:szCs w:val="28"/>
          <w:lang w:val="en-US" w:eastAsia="zh-CN" w:bidi="ar"/>
        </w:rPr>
        <w:t>①</w:t>
      </w:r>
      <w:r>
        <w:rPr>
          <w:rFonts w:hint="eastAsia" w:ascii="宋体" w:hAnsi="宋体" w:eastAsia="宋体" w:cs="宋体"/>
          <w:b/>
          <w:bCs/>
          <w:color w:val="000000"/>
          <w:sz w:val="28"/>
          <w:szCs w:val="28"/>
          <w:lang w:val="en-US" w:eastAsia="zh-CN"/>
        </w:rPr>
        <w:t>多维度人才</w:t>
      </w:r>
      <w:r>
        <w:rPr>
          <w:rFonts w:hint="eastAsia" w:ascii="宋体" w:hAnsi="宋体" w:eastAsia="宋体" w:cs="宋体"/>
          <w:b/>
          <w:bCs/>
          <w:color w:val="000000"/>
          <w:kern w:val="0"/>
          <w:sz w:val="28"/>
          <w:szCs w:val="28"/>
          <w:lang w:val="en-US" w:eastAsia="zh-CN" w:bidi="ar"/>
        </w:rPr>
        <w:t>选拔体系。</w:t>
      </w:r>
      <w:r>
        <w:rPr>
          <w:rFonts w:hint="eastAsia" w:ascii="宋体" w:hAnsi="宋体" w:eastAsia="宋体" w:cs="宋体"/>
          <w:b w:val="0"/>
          <w:bCs w:val="0"/>
          <w:color w:val="000000"/>
          <w:sz w:val="28"/>
          <w:szCs w:val="28"/>
          <w:u w:val="none"/>
          <w:lang w:val="en-US" w:eastAsia="zh-CN"/>
        </w:rPr>
        <w:t>在统招模式基础上，积极探索“申请-考核”制，并完善推免生激励机制，设立“优秀直博生”专项计划，吸引具有突出科研潜质的优秀推免硕士生攻读博士学位。</w:t>
      </w:r>
      <w:r>
        <w:rPr>
          <w:rFonts w:hint="default" w:ascii="宋体" w:hAnsi="宋体" w:eastAsia="宋体" w:cs="宋体"/>
          <w:b/>
          <w:bCs/>
          <w:color w:val="000000"/>
          <w:sz w:val="28"/>
          <w:szCs w:val="28"/>
          <w:u w:val="none"/>
          <w:lang w:val="en-US" w:eastAsia="zh-CN"/>
        </w:rPr>
        <w:t>②</w:t>
      </w:r>
      <w:r>
        <w:rPr>
          <w:rFonts w:hint="eastAsia" w:ascii="宋体" w:hAnsi="宋体" w:eastAsia="宋体" w:cs="宋体"/>
          <w:b/>
          <w:bCs/>
          <w:color w:val="000000"/>
          <w:sz w:val="28"/>
          <w:szCs w:val="28"/>
          <w:u w:val="none"/>
          <w:lang w:val="en-US" w:eastAsia="zh-CN"/>
        </w:rPr>
        <w:t>多</w:t>
      </w:r>
      <w:r>
        <w:rPr>
          <w:rFonts w:hint="eastAsia" w:ascii="宋体" w:hAnsi="宋体" w:eastAsia="宋体" w:cs="宋体"/>
          <w:b/>
          <w:bCs/>
          <w:color w:val="000000"/>
          <w:kern w:val="0"/>
          <w:sz w:val="28"/>
          <w:szCs w:val="28"/>
          <w:lang w:val="en-US" w:eastAsia="zh-CN" w:bidi="ar"/>
        </w:rPr>
        <w:t>渠道扩大招生宣传。</w:t>
      </w:r>
      <w:r>
        <w:rPr>
          <w:rFonts w:hint="eastAsia" w:ascii="宋体" w:hAnsi="宋体" w:eastAsia="宋体" w:cs="宋体"/>
          <w:b w:val="0"/>
          <w:bCs w:val="0"/>
          <w:color w:val="000000"/>
          <w:kern w:val="0"/>
          <w:sz w:val="28"/>
          <w:szCs w:val="28"/>
          <w:lang w:val="en-US" w:eastAsia="zh-CN" w:bidi="ar"/>
        </w:rPr>
        <w:t>通</w:t>
      </w:r>
      <w:r>
        <w:rPr>
          <w:rFonts w:hint="eastAsia" w:ascii="宋体" w:hAnsi="宋体" w:eastAsia="宋体" w:cs="宋体"/>
          <w:b w:val="0"/>
          <w:bCs w:val="0"/>
          <w:color w:val="000000"/>
          <w:sz w:val="28"/>
          <w:szCs w:val="28"/>
          <w:lang w:val="en-US" w:eastAsia="zh-CN"/>
        </w:rPr>
        <w:t>过</w:t>
      </w:r>
      <w:r>
        <w:rPr>
          <w:rFonts w:hint="eastAsia" w:ascii="宋体" w:hAnsi="宋体" w:eastAsia="宋体" w:cs="宋体"/>
          <w:bCs w:val="0"/>
          <w:color w:val="000000"/>
          <w:kern w:val="0"/>
          <w:sz w:val="28"/>
          <w:szCs w:val="28"/>
          <w:lang w:val="en-US" w:eastAsia="zh-CN" w:bidi="ar"/>
        </w:rPr>
        <w:t>多种线上平台发布招生信息，举办丰富线下活动加强学校宣讲，与目标院校建立联系、向其优秀学生精准推送招生信息，吸引更多优秀生源报考。</w:t>
      </w:r>
      <w:r>
        <w:rPr>
          <w:rFonts w:hint="default" w:ascii="宋体" w:hAnsi="宋体" w:eastAsia="宋体" w:cs="宋体"/>
          <w:b/>
          <w:bCs/>
          <w:color w:val="000000"/>
          <w:kern w:val="0"/>
          <w:sz w:val="28"/>
          <w:szCs w:val="28"/>
          <w:lang w:val="en-US" w:eastAsia="zh-CN" w:bidi="ar"/>
        </w:rPr>
        <w:t>③</w:t>
      </w:r>
      <w:r>
        <w:rPr>
          <w:rFonts w:hint="eastAsia" w:ascii="宋体" w:hAnsi="宋体" w:eastAsia="宋体" w:cs="宋体"/>
          <w:b/>
          <w:bCs/>
          <w:color w:val="000000"/>
          <w:kern w:val="0"/>
          <w:sz w:val="28"/>
          <w:szCs w:val="28"/>
          <w:lang w:val="en-US" w:eastAsia="zh-CN" w:bidi="ar"/>
        </w:rPr>
        <w:t>全方面</w:t>
      </w:r>
      <w:r>
        <w:rPr>
          <w:rFonts w:hint="eastAsia" w:ascii="宋体" w:hAnsi="宋体" w:eastAsia="宋体" w:cs="宋体"/>
          <w:b/>
          <w:bCs/>
          <w:color w:val="000000"/>
          <w:sz w:val="28"/>
          <w:szCs w:val="28"/>
          <w:lang w:val="en-US" w:eastAsia="zh-CN"/>
        </w:rPr>
        <w:t>优化考核机制。</w:t>
      </w:r>
      <w:r>
        <w:rPr>
          <w:rFonts w:hint="eastAsia" w:ascii="宋体" w:hAnsi="宋体" w:eastAsia="宋体" w:cs="宋体"/>
          <w:bCs w:val="0"/>
          <w:color w:val="000000"/>
          <w:kern w:val="0"/>
          <w:sz w:val="28"/>
          <w:szCs w:val="28"/>
          <w:lang w:val="en-US" w:eastAsia="zh-CN" w:bidi="ar"/>
        </w:rPr>
        <w:t>加强</w:t>
      </w:r>
      <w:r>
        <w:rPr>
          <w:rFonts w:hint="default" w:ascii="宋体" w:hAnsi="宋体" w:eastAsia="宋体" w:cs="宋体"/>
          <w:bCs w:val="0"/>
          <w:color w:val="000000"/>
          <w:kern w:val="0"/>
          <w:sz w:val="28"/>
          <w:szCs w:val="28"/>
          <w:lang w:val="en-US" w:eastAsia="zh-CN" w:bidi="ar"/>
        </w:rPr>
        <w:t>科研基础、科研思维、创新能力等</w:t>
      </w:r>
      <w:r>
        <w:rPr>
          <w:rFonts w:hint="eastAsia" w:ascii="宋体" w:hAnsi="宋体" w:eastAsia="宋体" w:cs="宋体"/>
          <w:bCs w:val="0"/>
          <w:color w:val="000000"/>
          <w:kern w:val="0"/>
          <w:sz w:val="28"/>
          <w:szCs w:val="28"/>
          <w:lang w:val="en-US" w:eastAsia="zh-CN" w:bidi="ar"/>
        </w:rPr>
        <w:t>方面的科研能力考核，</w:t>
      </w:r>
      <w:r>
        <w:rPr>
          <w:rFonts w:hint="default" w:ascii="宋体" w:hAnsi="宋体" w:eastAsia="宋体" w:cs="宋体"/>
          <w:bCs w:val="0"/>
          <w:color w:val="000000"/>
          <w:kern w:val="0"/>
          <w:sz w:val="28"/>
          <w:szCs w:val="28"/>
          <w:lang w:val="en-US" w:eastAsia="zh-CN" w:bidi="ar"/>
        </w:rPr>
        <w:t>注重思想政治素质、道德品质、心理素质等</w:t>
      </w:r>
      <w:r>
        <w:rPr>
          <w:rFonts w:hint="eastAsia" w:ascii="宋体" w:hAnsi="宋体" w:eastAsia="宋体" w:cs="宋体"/>
          <w:bCs w:val="0"/>
          <w:color w:val="000000"/>
          <w:kern w:val="0"/>
          <w:sz w:val="28"/>
          <w:szCs w:val="28"/>
          <w:lang w:val="en-US" w:eastAsia="zh-CN" w:bidi="ar"/>
        </w:rPr>
        <w:t>方面的</w:t>
      </w:r>
      <w:r>
        <w:rPr>
          <w:rFonts w:hint="default" w:ascii="宋体" w:hAnsi="宋体" w:eastAsia="宋体" w:cs="宋体"/>
          <w:bCs w:val="0"/>
          <w:color w:val="000000"/>
          <w:kern w:val="0"/>
          <w:sz w:val="28"/>
          <w:szCs w:val="28"/>
          <w:lang w:val="en-US" w:eastAsia="zh-CN" w:bidi="ar"/>
        </w:rPr>
        <w:t>综合素质评价</w:t>
      </w:r>
      <w:r>
        <w:rPr>
          <w:rFonts w:hint="eastAsia" w:ascii="宋体" w:hAnsi="宋体" w:eastAsia="宋体" w:cs="宋体"/>
          <w:bCs w:val="0"/>
          <w:color w:val="000000"/>
          <w:kern w:val="0"/>
          <w:sz w:val="28"/>
          <w:szCs w:val="28"/>
          <w:lang w:val="en-US" w:eastAsia="zh-CN" w:bidi="ar"/>
        </w:rPr>
        <w:t>，</w:t>
      </w:r>
      <w:r>
        <w:rPr>
          <w:rFonts w:hint="default" w:ascii="宋体" w:hAnsi="宋体" w:eastAsia="宋体" w:cs="宋体"/>
          <w:bCs w:val="0"/>
          <w:color w:val="000000"/>
          <w:kern w:val="0"/>
          <w:sz w:val="28"/>
          <w:szCs w:val="28"/>
          <w:lang w:val="en-US" w:eastAsia="zh-CN" w:bidi="ar"/>
        </w:rPr>
        <w:t>探索笔试、面试、实践操作等多种形式</w:t>
      </w:r>
      <w:r>
        <w:rPr>
          <w:rFonts w:hint="eastAsia" w:ascii="宋体" w:hAnsi="宋体" w:eastAsia="宋体" w:cs="宋体"/>
          <w:bCs w:val="0"/>
          <w:color w:val="000000"/>
          <w:kern w:val="0"/>
          <w:sz w:val="28"/>
          <w:szCs w:val="28"/>
          <w:lang w:val="en-US" w:eastAsia="zh-CN" w:bidi="ar"/>
        </w:rPr>
        <w:t>结合的</w:t>
      </w:r>
      <w:r>
        <w:rPr>
          <w:rFonts w:hint="default" w:ascii="宋体" w:hAnsi="宋体" w:eastAsia="宋体" w:cs="宋体"/>
          <w:bCs w:val="0"/>
          <w:color w:val="000000"/>
          <w:kern w:val="0"/>
          <w:sz w:val="28"/>
          <w:szCs w:val="28"/>
          <w:lang w:val="en-US" w:eastAsia="zh-CN" w:bidi="ar"/>
        </w:rPr>
        <w:t>多元化考核方式，全面考察考生</w:t>
      </w:r>
      <w:r>
        <w:rPr>
          <w:rFonts w:hint="eastAsia" w:ascii="宋体" w:hAnsi="宋体" w:eastAsia="宋体" w:cs="宋体"/>
          <w:bCs w:val="0"/>
          <w:color w:val="000000"/>
          <w:kern w:val="0"/>
          <w:sz w:val="28"/>
          <w:szCs w:val="28"/>
          <w:lang w:val="en-US" w:eastAsia="zh-CN" w:bidi="ar"/>
        </w:rPr>
        <w:t>实力。</w:t>
      </w:r>
    </w:p>
    <w:p w14:paraId="5A61B48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宋体" w:hAnsi="宋体" w:eastAsia="宋体"/>
          <w:b/>
          <w:bCs/>
          <w:sz w:val="28"/>
          <w:szCs w:val="28"/>
          <w:highlight w:val="none"/>
          <w:lang w:val="en-US" w:eastAsia="zh-CN"/>
        </w:rPr>
      </w:pPr>
      <w:r>
        <w:rPr>
          <w:rFonts w:hint="eastAsia" w:ascii="宋体" w:hAnsi="宋体" w:eastAsia="宋体" w:cs="仿宋"/>
          <w:b/>
          <w:bCs/>
          <w:sz w:val="28"/>
          <w:szCs w:val="28"/>
          <w:lang w:val="en-US" w:eastAsia="zh-CN"/>
        </w:rPr>
        <w:t>5.2</w:t>
      </w:r>
      <w:r>
        <w:rPr>
          <w:rFonts w:hint="eastAsia" w:ascii="宋体" w:hAnsi="宋体" w:eastAsia="宋体"/>
          <w:b/>
          <w:bCs/>
          <w:sz w:val="28"/>
          <w:szCs w:val="28"/>
          <w:highlight w:val="none"/>
          <w:lang w:val="en-US" w:eastAsia="zh-CN"/>
        </w:rPr>
        <w:t>人才培养</w:t>
      </w:r>
    </w:p>
    <w:p w14:paraId="6C95F397">
      <w:pPr>
        <w:spacing w:line="240" w:lineRule="auto"/>
        <w:ind w:firstLine="562" w:firstLineChars="200"/>
        <w:rPr>
          <w:rFonts w:hint="eastAsia" w:ascii="宋体" w:hAnsi="宋体" w:eastAsia="宋体" w:cs="宋体"/>
          <w:b/>
          <w:bCs/>
          <w:color w:val="000000"/>
          <w:sz w:val="28"/>
          <w:szCs w:val="28"/>
        </w:rPr>
      </w:pPr>
      <w:r>
        <w:rPr>
          <w:rFonts w:hint="eastAsia" w:ascii="宋体" w:hAnsi="宋体" w:eastAsia="宋体" w:cs="宋体"/>
          <w:b/>
          <w:bCs/>
          <w:color w:val="000000"/>
          <w:kern w:val="2"/>
          <w:sz w:val="28"/>
          <w:szCs w:val="28"/>
          <w:lang w:val="en-US" w:eastAsia="zh-CN" w:bidi="ar-SA"/>
        </w:rPr>
        <w:t>5.2.1</w:t>
      </w:r>
      <w:r>
        <w:rPr>
          <w:rFonts w:hint="eastAsia" w:ascii="宋体" w:hAnsi="宋体" w:eastAsia="宋体" w:cs="宋体"/>
          <w:b/>
          <w:bCs/>
          <w:color w:val="000000"/>
          <w:sz w:val="28"/>
          <w:szCs w:val="28"/>
        </w:rPr>
        <w:t>课程教学</w:t>
      </w:r>
    </w:p>
    <w:p w14:paraId="2FF5479B">
      <w:pPr>
        <w:keepNext w:val="0"/>
        <w:keepLines w:val="0"/>
        <w:widowControl/>
        <w:suppressLineNumbers w:val="0"/>
        <w:spacing w:line="240" w:lineRule="auto"/>
        <w:ind w:firstLine="562" w:firstLineChars="200"/>
        <w:jc w:val="left"/>
        <w:rPr>
          <w:rFonts w:hint="default"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（1）</w:t>
      </w:r>
      <w:r>
        <w:rPr>
          <w:rFonts w:hint="default" w:ascii="宋体" w:hAnsi="宋体" w:eastAsia="宋体" w:cs="宋体"/>
          <w:b/>
          <w:bCs/>
          <w:color w:val="auto"/>
          <w:kern w:val="2"/>
          <w:sz w:val="28"/>
          <w:szCs w:val="28"/>
          <w:lang w:val="en-US" w:eastAsia="zh-CN" w:bidi="ar-SA"/>
        </w:rPr>
        <w:t>课程体系构建与教学管理</w:t>
      </w:r>
    </w:p>
    <w:p w14:paraId="6530E013">
      <w:pPr>
        <w:keepNext w:val="0"/>
        <w:keepLines w:val="0"/>
        <w:widowControl/>
        <w:suppressLineNumbers w:val="0"/>
        <w:spacing w:line="240" w:lineRule="auto"/>
        <w:ind w:firstLine="562" w:firstLineChars="200"/>
        <w:jc w:val="left"/>
        <w:rPr>
          <w:rFonts w:hint="eastAsia" w:ascii="宋体" w:hAnsi="宋体" w:eastAsia="宋体" w:cs="宋体"/>
          <w:b w:val="0"/>
          <w:bCs w:val="0"/>
          <w:color w:val="auto"/>
          <w:kern w:val="2"/>
          <w:sz w:val="28"/>
          <w:szCs w:val="28"/>
          <w:lang w:val="en-US" w:eastAsia="zh-CN" w:bidi="ar-SA"/>
        </w:rPr>
      </w:pPr>
      <w:r>
        <w:rPr>
          <w:rFonts w:hint="default" w:ascii="宋体" w:hAnsi="宋体" w:eastAsia="宋体" w:cs="宋体"/>
          <w:b/>
          <w:bCs/>
          <w:color w:val="auto"/>
          <w:kern w:val="0"/>
          <w:sz w:val="28"/>
          <w:szCs w:val="28"/>
          <w:lang w:val="en-US" w:eastAsia="zh-CN" w:bidi="ar"/>
        </w:rPr>
        <w:t>①</w:t>
      </w:r>
      <w:r>
        <w:rPr>
          <w:rFonts w:hint="eastAsia" w:ascii="宋体" w:hAnsi="宋体" w:eastAsia="宋体" w:cs="宋体"/>
          <w:b/>
          <w:bCs/>
          <w:color w:val="auto"/>
          <w:kern w:val="0"/>
          <w:sz w:val="28"/>
          <w:szCs w:val="28"/>
          <w:lang w:val="en-US" w:eastAsia="zh-CN" w:bidi="ar"/>
        </w:rPr>
        <w:t>课程结构四位一体。</w:t>
      </w:r>
      <w:r>
        <w:rPr>
          <w:rFonts w:hint="default" w:ascii="宋体" w:hAnsi="宋体" w:eastAsia="宋体" w:cs="宋体"/>
          <w:b w:val="0"/>
          <w:bCs w:val="0"/>
          <w:color w:val="auto"/>
          <w:kern w:val="2"/>
          <w:sz w:val="28"/>
          <w:szCs w:val="28"/>
          <w:lang w:val="en-US" w:eastAsia="zh-CN" w:bidi="ar-SA"/>
        </w:rPr>
        <w:t>形成了</w:t>
      </w:r>
      <w:r>
        <w:rPr>
          <w:rFonts w:hint="eastAsia" w:ascii="宋体" w:hAnsi="宋体" w:eastAsia="宋体" w:cs="宋体"/>
          <w:b w:val="0"/>
          <w:bCs w:val="0"/>
          <w:color w:val="auto"/>
          <w:kern w:val="2"/>
          <w:sz w:val="28"/>
          <w:szCs w:val="28"/>
          <w:lang w:val="en-US" w:eastAsia="zh-CN" w:bidi="ar-SA"/>
        </w:rPr>
        <w:t>“</w:t>
      </w:r>
      <w:r>
        <w:rPr>
          <w:rFonts w:hint="default" w:ascii="宋体" w:hAnsi="宋体" w:eastAsia="宋体" w:cs="宋体"/>
          <w:b w:val="0"/>
          <w:bCs w:val="0"/>
          <w:color w:val="auto"/>
          <w:kern w:val="2"/>
          <w:sz w:val="28"/>
          <w:szCs w:val="28"/>
          <w:lang w:val="en-US" w:eastAsia="zh-CN" w:bidi="ar-SA"/>
        </w:rPr>
        <w:t>公共基础-专业基础-专业核心-选修拓展</w:t>
      </w:r>
      <w:r>
        <w:rPr>
          <w:rFonts w:hint="eastAsia" w:ascii="宋体" w:hAnsi="宋体" w:eastAsia="宋体" w:cs="宋体"/>
          <w:b w:val="0"/>
          <w:bCs w:val="0"/>
          <w:color w:val="auto"/>
          <w:kern w:val="2"/>
          <w:sz w:val="28"/>
          <w:szCs w:val="28"/>
          <w:lang w:val="en-US" w:eastAsia="zh-CN" w:bidi="ar-SA"/>
        </w:rPr>
        <w:t>”</w:t>
      </w:r>
      <w:r>
        <w:rPr>
          <w:rFonts w:hint="default" w:ascii="宋体" w:hAnsi="宋体" w:eastAsia="宋体" w:cs="宋体"/>
          <w:b w:val="0"/>
          <w:bCs w:val="0"/>
          <w:color w:val="auto"/>
          <w:kern w:val="2"/>
          <w:sz w:val="28"/>
          <w:szCs w:val="28"/>
          <w:lang w:val="en-US" w:eastAsia="zh-CN" w:bidi="ar-SA"/>
        </w:rPr>
        <w:t>四位一体的课程结构。公共基础课程设置《高级医用英语》《中医药科技创新思路与方法》等课程，夯实研究生学术基础；专业基础课程开设《仲景学术思想研究精要》《中医名家论坛》等特色课程，强化专业理论素养；专业核心课程包括《中医内科学研究专论》《中医基础理论研究专论》等，深化专业研究方向；同时设置多门选修课程，满足学生个性化发展需求。</w:t>
      </w:r>
      <w:r>
        <w:rPr>
          <w:rFonts w:hint="default" w:ascii="宋体" w:hAnsi="宋体" w:eastAsia="宋体" w:cs="宋体"/>
          <w:b/>
          <w:bCs/>
          <w:color w:val="000000"/>
          <w:kern w:val="0"/>
          <w:sz w:val="28"/>
          <w:szCs w:val="28"/>
          <w:lang w:val="en-US" w:eastAsia="zh-CN" w:bidi="ar"/>
        </w:rPr>
        <w:t>②</w:t>
      </w:r>
      <w:r>
        <w:rPr>
          <w:rFonts w:hint="eastAsia" w:ascii="宋体" w:hAnsi="宋体" w:eastAsia="宋体" w:cs="宋体"/>
          <w:b/>
          <w:bCs/>
          <w:color w:val="000000"/>
          <w:kern w:val="0"/>
          <w:sz w:val="28"/>
          <w:szCs w:val="28"/>
          <w:lang w:val="en-US" w:eastAsia="zh-CN" w:bidi="ar"/>
        </w:rPr>
        <w:t>课程管理科学规范。</w:t>
      </w:r>
      <w:r>
        <w:rPr>
          <w:rFonts w:hint="default" w:ascii="宋体" w:hAnsi="宋体" w:eastAsia="宋体" w:cs="宋体"/>
          <w:b w:val="0"/>
          <w:bCs w:val="0"/>
          <w:color w:val="auto"/>
          <w:kern w:val="2"/>
          <w:sz w:val="28"/>
          <w:szCs w:val="28"/>
          <w:lang w:val="en-US" w:eastAsia="zh-CN" w:bidi="ar-SA"/>
        </w:rPr>
        <w:t>全面推行</w:t>
      </w:r>
      <w:r>
        <w:rPr>
          <w:rFonts w:hint="eastAsia" w:ascii="宋体" w:hAnsi="宋体" w:eastAsia="宋体" w:cs="宋体"/>
          <w:b w:val="0"/>
          <w:bCs w:val="0"/>
          <w:color w:val="auto"/>
          <w:kern w:val="2"/>
          <w:sz w:val="28"/>
          <w:szCs w:val="28"/>
          <w:lang w:val="en-US" w:eastAsia="zh-CN" w:bidi="ar-SA"/>
        </w:rPr>
        <w:t>“</w:t>
      </w:r>
      <w:r>
        <w:rPr>
          <w:rFonts w:hint="default" w:ascii="宋体" w:hAnsi="宋体" w:eastAsia="宋体" w:cs="宋体"/>
          <w:b w:val="0"/>
          <w:bCs w:val="0"/>
          <w:color w:val="auto"/>
          <w:kern w:val="2"/>
          <w:sz w:val="28"/>
          <w:szCs w:val="28"/>
          <w:lang w:val="en-US" w:eastAsia="zh-CN" w:bidi="ar-SA"/>
        </w:rPr>
        <w:t>课程负责制+团队协作</w:t>
      </w:r>
      <w:r>
        <w:rPr>
          <w:rFonts w:hint="eastAsia" w:ascii="宋体" w:hAnsi="宋体" w:eastAsia="宋体" w:cs="宋体"/>
          <w:b w:val="0"/>
          <w:bCs w:val="0"/>
          <w:color w:val="auto"/>
          <w:kern w:val="2"/>
          <w:sz w:val="28"/>
          <w:szCs w:val="28"/>
          <w:lang w:val="en-US" w:eastAsia="zh-CN" w:bidi="ar-SA"/>
        </w:rPr>
        <w:t>”</w:t>
      </w:r>
      <w:r>
        <w:rPr>
          <w:rFonts w:hint="default" w:ascii="宋体" w:hAnsi="宋体" w:eastAsia="宋体" w:cs="宋体"/>
          <w:b w:val="0"/>
          <w:bCs w:val="0"/>
          <w:color w:val="auto"/>
          <w:kern w:val="2"/>
          <w:sz w:val="28"/>
          <w:szCs w:val="28"/>
          <w:lang w:val="en-US" w:eastAsia="zh-CN" w:bidi="ar-SA"/>
        </w:rPr>
        <w:t>的管理模式</w:t>
      </w:r>
      <w:r>
        <w:rPr>
          <w:rFonts w:hint="eastAsia" w:ascii="宋体" w:hAnsi="宋体" w:eastAsia="宋体" w:cs="宋体"/>
          <w:b w:val="0"/>
          <w:bCs w:val="0"/>
          <w:color w:val="auto"/>
          <w:kern w:val="2"/>
          <w:sz w:val="28"/>
          <w:szCs w:val="28"/>
          <w:lang w:val="en-US" w:eastAsia="zh-CN" w:bidi="ar-SA"/>
        </w:rPr>
        <w:t>，</w:t>
      </w:r>
      <w:r>
        <w:rPr>
          <w:rFonts w:hint="default" w:ascii="宋体" w:hAnsi="宋体" w:eastAsia="宋体" w:cs="宋体"/>
          <w:b w:val="0"/>
          <w:bCs w:val="0"/>
          <w:color w:val="auto"/>
          <w:kern w:val="2"/>
          <w:sz w:val="28"/>
          <w:szCs w:val="28"/>
          <w:lang w:val="en-US" w:eastAsia="zh-CN" w:bidi="ar-SA"/>
        </w:rPr>
        <w:t>实行授课小组负责</w:t>
      </w:r>
      <w:r>
        <w:rPr>
          <w:rFonts w:hint="eastAsia" w:ascii="宋体" w:hAnsi="宋体" w:eastAsia="宋体" w:cs="宋体"/>
          <w:b w:val="0"/>
          <w:bCs w:val="0"/>
          <w:color w:val="auto"/>
          <w:kern w:val="2"/>
          <w:sz w:val="28"/>
          <w:szCs w:val="28"/>
          <w:lang w:val="en-US" w:eastAsia="zh-CN" w:bidi="ar-SA"/>
        </w:rPr>
        <w:t>、</w:t>
      </w:r>
      <w:r>
        <w:rPr>
          <w:rFonts w:hint="default" w:ascii="宋体" w:hAnsi="宋体" w:eastAsia="宋体" w:cs="宋体"/>
          <w:b w:val="0"/>
          <w:bCs w:val="0"/>
          <w:color w:val="auto"/>
          <w:kern w:val="2"/>
          <w:sz w:val="28"/>
          <w:szCs w:val="28"/>
          <w:lang w:val="en-US" w:eastAsia="zh-CN" w:bidi="ar-SA"/>
        </w:rPr>
        <w:t>课程团队共同制定教学大纲、设计授课计划，确保教学内容与时俱进。</w:t>
      </w:r>
    </w:p>
    <w:p w14:paraId="1CB38099">
      <w:pPr>
        <w:keepNext w:val="0"/>
        <w:keepLines w:val="0"/>
        <w:widowControl/>
        <w:suppressLineNumbers w:val="0"/>
        <w:spacing w:line="240" w:lineRule="auto"/>
        <w:ind w:firstLine="562" w:firstLineChars="200"/>
        <w:jc w:val="left"/>
        <w:rPr>
          <w:rFonts w:hint="eastAsia" w:ascii="宋体" w:hAnsi="宋体" w:eastAsia="宋体" w:cs="宋体"/>
          <w:b/>
          <w:bCs/>
          <w:color w:val="auto"/>
          <w:kern w:val="2"/>
          <w:sz w:val="28"/>
          <w:szCs w:val="28"/>
          <w:lang w:val="en-US" w:eastAsia="zh-CN" w:bidi="ar-SA"/>
        </w:rPr>
      </w:pPr>
      <w:r>
        <w:rPr>
          <w:rFonts w:hint="eastAsia" w:ascii="宋体" w:hAnsi="宋体" w:eastAsia="宋体" w:cs="宋体"/>
          <w:b/>
          <w:bCs/>
          <w:color w:val="auto"/>
          <w:kern w:val="2"/>
          <w:sz w:val="28"/>
          <w:szCs w:val="28"/>
          <w:lang w:val="en-US" w:eastAsia="zh-CN" w:bidi="ar-SA"/>
        </w:rPr>
        <w:t>（2）</w:t>
      </w:r>
      <w:r>
        <w:rPr>
          <w:rFonts w:hint="default" w:ascii="宋体" w:hAnsi="宋体" w:eastAsia="宋体" w:cs="宋体"/>
          <w:b/>
          <w:bCs/>
          <w:color w:val="auto"/>
          <w:kern w:val="2"/>
          <w:sz w:val="28"/>
          <w:szCs w:val="28"/>
          <w:lang w:val="en-US" w:eastAsia="zh-CN" w:bidi="ar-SA"/>
        </w:rPr>
        <w:t>教学质量保障体系建设与实施</w:t>
      </w:r>
    </w:p>
    <w:p w14:paraId="71F1E954">
      <w:pPr>
        <w:numPr>
          <w:ilvl w:val="0"/>
          <w:numId w:val="0"/>
        </w:numPr>
        <w:spacing w:line="240" w:lineRule="auto"/>
        <w:ind w:firstLine="562" w:firstLineChars="200"/>
        <w:rPr>
          <w:rFonts w:hint="eastAsia" w:ascii="宋体" w:hAnsi="宋体" w:eastAsia="宋体" w:cs="宋体"/>
          <w:b w:val="0"/>
          <w:bCs w:val="0"/>
          <w:color w:val="auto"/>
          <w:kern w:val="2"/>
          <w:sz w:val="28"/>
          <w:szCs w:val="28"/>
          <w:lang w:val="en-US" w:eastAsia="zh-CN" w:bidi="ar-SA"/>
        </w:rPr>
      </w:pPr>
      <w:r>
        <w:rPr>
          <w:rFonts w:hint="default" w:ascii="宋体" w:hAnsi="宋体" w:eastAsia="宋体" w:cs="宋体"/>
          <w:b/>
          <w:bCs/>
          <w:color w:val="auto"/>
          <w:kern w:val="0"/>
          <w:sz w:val="28"/>
          <w:szCs w:val="28"/>
          <w:lang w:val="en-US" w:eastAsia="zh-CN" w:bidi="ar"/>
        </w:rPr>
        <w:t>①</w:t>
      </w:r>
      <w:r>
        <w:rPr>
          <w:rFonts w:hint="eastAsia" w:ascii="宋体" w:hAnsi="宋体" w:eastAsia="宋体" w:cs="宋体"/>
          <w:b/>
          <w:bCs/>
          <w:color w:val="000000"/>
          <w:sz w:val="28"/>
          <w:szCs w:val="28"/>
          <w:lang w:val="en-US" w:eastAsia="zh-CN"/>
        </w:rPr>
        <w:t>构建“前沿引领、创新驱动”的教学内容更新体系。</w:t>
      </w:r>
      <w:r>
        <w:rPr>
          <w:rFonts w:hint="eastAsia" w:ascii="宋体" w:hAnsi="宋体" w:eastAsia="宋体" w:cs="宋体"/>
          <w:b w:val="0"/>
          <w:bCs w:val="0"/>
          <w:color w:val="000000"/>
          <w:sz w:val="28"/>
          <w:szCs w:val="28"/>
          <w:lang w:val="en-US" w:eastAsia="zh-CN"/>
        </w:rPr>
        <w:t>实施</w:t>
      </w:r>
      <w:r>
        <w:rPr>
          <w:rFonts w:hint="default" w:ascii="宋体" w:hAnsi="宋体" w:eastAsia="宋体" w:cs="宋体"/>
          <w:b w:val="0"/>
          <w:bCs w:val="0"/>
          <w:color w:val="000000"/>
          <w:sz w:val="28"/>
          <w:szCs w:val="28"/>
          <w:lang w:val="en-US" w:eastAsia="zh-CN"/>
        </w:rPr>
        <w:t>将学科前沿动态融入课程设计</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将研究热点问题融入课堂教学</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将科研成果融入教学实践</w:t>
      </w:r>
      <w:r>
        <w:rPr>
          <w:rFonts w:hint="eastAsia" w:ascii="宋体" w:hAnsi="宋体" w:eastAsia="宋体" w:cs="宋体"/>
          <w:b w:val="0"/>
          <w:bCs w:val="0"/>
          <w:color w:val="000000"/>
          <w:sz w:val="28"/>
          <w:szCs w:val="28"/>
          <w:lang w:val="en-US" w:eastAsia="zh-CN"/>
        </w:rPr>
        <w:t>的“三融入”教学模式。</w:t>
      </w:r>
      <w:r>
        <w:rPr>
          <w:rFonts w:hint="default" w:ascii="宋体" w:hAnsi="宋体" w:eastAsia="宋体" w:cs="宋体"/>
          <w:b/>
          <w:bCs/>
          <w:color w:val="auto"/>
          <w:kern w:val="0"/>
          <w:sz w:val="28"/>
          <w:szCs w:val="28"/>
          <w:lang w:val="en-US" w:eastAsia="zh-CN" w:bidi="ar"/>
        </w:rPr>
        <w:t>②</w:t>
      </w:r>
      <w:r>
        <w:rPr>
          <w:rFonts w:hint="eastAsia" w:ascii="宋体" w:hAnsi="宋体" w:eastAsia="宋体" w:cs="宋体"/>
          <w:b/>
          <w:bCs/>
          <w:color w:val="auto"/>
          <w:kern w:val="0"/>
          <w:sz w:val="28"/>
          <w:szCs w:val="28"/>
          <w:lang w:val="en-US" w:eastAsia="zh-CN" w:bidi="ar"/>
        </w:rPr>
        <w:t>建立“</w:t>
      </w:r>
      <w:r>
        <w:rPr>
          <w:rFonts w:hint="default" w:ascii="宋体" w:hAnsi="宋体" w:eastAsia="宋体" w:cs="宋体"/>
          <w:b/>
          <w:bCs/>
          <w:color w:val="auto"/>
          <w:kern w:val="0"/>
          <w:sz w:val="28"/>
          <w:szCs w:val="28"/>
          <w:lang w:val="en-US" w:eastAsia="zh-CN" w:bidi="ar"/>
        </w:rPr>
        <w:t>名师引领、梯队培养</w:t>
      </w:r>
      <w:r>
        <w:rPr>
          <w:rFonts w:hint="eastAsia" w:ascii="宋体" w:hAnsi="宋体" w:eastAsia="宋体" w:cs="宋体"/>
          <w:b/>
          <w:bCs/>
          <w:color w:val="auto"/>
          <w:kern w:val="0"/>
          <w:sz w:val="28"/>
          <w:szCs w:val="28"/>
          <w:lang w:val="en-US" w:eastAsia="zh-CN" w:bidi="ar"/>
        </w:rPr>
        <w:t>”</w:t>
      </w:r>
      <w:r>
        <w:rPr>
          <w:rFonts w:hint="default" w:ascii="宋体" w:hAnsi="宋体" w:eastAsia="宋体" w:cs="宋体"/>
          <w:b/>
          <w:bCs/>
          <w:color w:val="auto"/>
          <w:kern w:val="0"/>
          <w:sz w:val="28"/>
          <w:szCs w:val="28"/>
          <w:lang w:val="en-US" w:eastAsia="zh-CN" w:bidi="ar"/>
        </w:rPr>
        <w:t>的师资建设计划</w:t>
      </w:r>
      <w:r>
        <w:rPr>
          <w:rFonts w:hint="eastAsia" w:ascii="宋体" w:hAnsi="宋体" w:eastAsia="宋体" w:cs="宋体"/>
          <w:b/>
          <w:bCs/>
          <w:color w:val="auto"/>
          <w:kern w:val="0"/>
          <w:sz w:val="28"/>
          <w:szCs w:val="28"/>
          <w:lang w:val="en-US" w:eastAsia="zh-CN" w:bidi="ar"/>
        </w:rPr>
        <w:t>。</w:t>
      </w:r>
      <w:r>
        <w:rPr>
          <w:rFonts w:hint="default" w:ascii="宋体" w:hAnsi="宋体" w:eastAsia="宋体" w:cs="宋体"/>
          <w:b w:val="0"/>
          <w:bCs w:val="0"/>
          <w:color w:val="000000"/>
          <w:sz w:val="28"/>
          <w:szCs w:val="28"/>
          <w:lang w:val="en-US" w:eastAsia="zh-CN"/>
        </w:rPr>
        <w:t>聘请国医大师、全国名中医、岐黄学者等专家担任课程首席教授</w:t>
      </w:r>
      <w:r>
        <w:rPr>
          <w:rFonts w:hint="eastAsia" w:ascii="宋体" w:hAnsi="宋体" w:eastAsia="宋体" w:cs="宋体"/>
          <w:b w:val="0"/>
          <w:bCs w:val="0"/>
          <w:color w:val="000000"/>
          <w:sz w:val="28"/>
          <w:szCs w:val="28"/>
          <w:lang w:val="en-US" w:eastAsia="zh-CN"/>
        </w:rPr>
        <w:t>，积极</w:t>
      </w:r>
      <w:r>
        <w:rPr>
          <w:rFonts w:hint="default" w:ascii="宋体" w:hAnsi="宋体" w:eastAsia="宋体" w:cs="宋体"/>
          <w:b w:val="0"/>
          <w:bCs w:val="0"/>
          <w:color w:val="000000"/>
          <w:sz w:val="28"/>
          <w:szCs w:val="28"/>
          <w:lang w:val="en-US" w:eastAsia="zh-CN"/>
        </w:rPr>
        <w:t>培养青年教师</w:t>
      </w:r>
      <w:r>
        <w:rPr>
          <w:rFonts w:hint="eastAsia" w:ascii="宋体" w:hAnsi="宋体" w:eastAsia="宋体" w:cs="宋体"/>
          <w:b w:val="0"/>
          <w:bCs w:val="0"/>
          <w:color w:val="000000"/>
          <w:sz w:val="28"/>
          <w:szCs w:val="28"/>
          <w:lang w:val="en-US" w:eastAsia="zh-CN"/>
        </w:rPr>
        <w:t>，保证</w:t>
      </w:r>
      <w:r>
        <w:rPr>
          <w:rFonts w:hint="default" w:ascii="宋体" w:hAnsi="宋体" w:eastAsia="宋体" w:cs="宋体"/>
          <w:b w:val="0"/>
          <w:bCs w:val="0"/>
          <w:color w:val="000000"/>
          <w:sz w:val="28"/>
          <w:szCs w:val="28"/>
          <w:lang w:val="en-US" w:eastAsia="zh-CN"/>
        </w:rPr>
        <w:t>正高级职称授课教师比例稳定在90%以上。</w:t>
      </w:r>
      <w:r>
        <w:rPr>
          <w:rFonts w:hint="default" w:ascii="宋体" w:hAnsi="宋体" w:eastAsia="宋体" w:cs="宋体"/>
          <w:b/>
          <w:bCs/>
          <w:color w:val="000000"/>
          <w:kern w:val="0"/>
          <w:sz w:val="28"/>
          <w:szCs w:val="28"/>
          <w:lang w:val="en-US" w:eastAsia="zh-CN" w:bidi="ar"/>
        </w:rPr>
        <w:t>③</w:t>
      </w:r>
      <w:r>
        <w:rPr>
          <w:rFonts w:hint="default" w:ascii="宋体" w:hAnsi="宋体" w:eastAsia="宋体" w:cs="宋体"/>
          <w:b/>
          <w:bCs/>
          <w:color w:val="auto"/>
          <w:kern w:val="0"/>
          <w:sz w:val="28"/>
          <w:szCs w:val="28"/>
          <w:lang w:val="en-US" w:eastAsia="zh-CN" w:bidi="ar"/>
        </w:rPr>
        <w:t>创新</w:t>
      </w:r>
      <w:r>
        <w:rPr>
          <w:rFonts w:hint="eastAsia" w:ascii="宋体" w:hAnsi="宋体" w:eastAsia="宋体" w:cs="宋体"/>
          <w:b/>
          <w:bCs/>
          <w:color w:val="auto"/>
          <w:kern w:val="0"/>
          <w:sz w:val="28"/>
          <w:szCs w:val="28"/>
          <w:lang w:val="en-US" w:eastAsia="zh-CN" w:bidi="ar"/>
        </w:rPr>
        <w:t>“</w:t>
      </w:r>
      <w:r>
        <w:rPr>
          <w:rFonts w:hint="default" w:ascii="宋体" w:hAnsi="宋体" w:eastAsia="宋体" w:cs="宋体"/>
          <w:b/>
          <w:bCs/>
          <w:color w:val="auto"/>
          <w:kern w:val="0"/>
          <w:sz w:val="28"/>
          <w:szCs w:val="28"/>
          <w:lang w:val="en-US" w:eastAsia="zh-CN" w:bidi="ar"/>
        </w:rPr>
        <w:t>多元协同、动态优化</w:t>
      </w:r>
      <w:r>
        <w:rPr>
          <w:rFonts w:hint="eastAsia" w:ascii="宋体" w:hAnsi="宋体" w:eastAsia="宋体" w:cs="宋体"/>
          <w:b/>
          <w:bCs/>
          <w:color w:val="auto"/>
          <w:kern w:val="0"/>
          <w:sz w:val="28"/>
          <w:szCs w:val="28"/>
          <w:lang w:val="en-US" w:eastAsia="zh-CN" w:bidi="ar"/>
        </w:rPr>
        <w:t>”</w:t>
      </w:r>
      <w:r>
        <w:rPr>
          <w:rFonts w:hint="default" w:ascii="宋体" w:hAnsi="宋体" w:eastAsia="宋体" w:cs="宋体"/>
          <w:b/>
          <w:bCs/>
          <w:color w:val="auto"/>
          <w:kern w:val="0"/>
          <w:sz w:val="28"/>
          <w:szCs w:val="28"/>
          <w:lang w:val="en-US" w:eastAsia="zh-CN" w:bidi="ar"/>
        </w:rPr>
        <w:t>的教学质量评价体系</w:t>
      </w:r>
      <w:r>
        <w:rPr>
          <w:rFonts w:hint="eastAsia" w:ascii="宋体" w:hAnsi="宋体" w:eastAsia="宋体" w:cs="宋体"/>
          <w:b/>
          <w:bCs/>
          <w:color w:val="auto"/>
          <w:kern w:val="0"/>
          <w:sz w:val="28"/>
          <w:szCs w:val="28"/>
          <w:lang w:val="en-US" w:eastAsia="zh-CN" w:bidi="ar"/>
        </w:rPr>
        <w:t>。</w:t>
      </w:r>
      <w:r>
        <w:rPr>
          <w:rFonts w:hint="default" w:ascii="宋体" w:hAnsi="宋体" w:eastAsia="宋体" w:cs="宋体"/>
          <w:b w:val="0"/>
          <w:bCs w:val="0"/>
          <w:color w:val="000000"/>
          <w:sz w:val="28"/>
          <w:szCs w:val="28"/>
          <w:lang w:val="en-US" w:eastAsia="zh-CN"/>
        </w:rPr>
        <w:t>整合校外专家、校级督导、院系同行、学生四方评价资源，构建</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四维联动</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评价网络；运用随堂听课、教学检查、问卷调查等评价方式，实现评价过程全覆盖；将评价结果与教师考核、职称晋升、评优评先等挂钩，形成</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监测-诊断-改进-提升</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的质量持续改进闭环。</w:t>
      </w:r>
    </w:p>
    <w:p w14:paraId="3ADA409C">
      <w:pPr>
        <w:numPr>
          <w:ilvl w:val="0"/>
          <w:numId w:val="0"/>
        </w:numPr>
        <w:spacing w:line="240" w:lineRule="auto"/>
        <w:ind w:firstLine="562" w:firstLineChars="200"/>
        <w:rPr>
          <w:rFonts w:hint="default" w:ascii="宋体" w:hAnsi="宋体" w:eastAsia="宋体" w:cs="宋体"/>
          <w:b w:val="0"/>
          <w:bCs w:val="0"/>
          <w:color w:val="000000"/>
          <w:sz w:val="28"/>
          <w:szCs w:val="28"/>
          <w:lang w:val="en-US" w:eastAsia="zh-CN"/>
        </w:rPr>
      </w:pPr>
      <w:r>
        <w:rPr>
          <w:rFonts w:hint="eastAsia" w:ascii="宋体" w:hAnsi="宋体" w:eastAsia="宋体" w:cs="宋体"/>
          <w:b/>
          <w:bCs/>
          <w:color w:val="auto"/>
          <w:kern w:val="2"/>
          <w:sz w:val="28"/>
          <w:szCs w:val="28"/>
          <w:lang w:val="en-US" w:eastAsia="zh-CN" w:bidi="ar-SA"/>
        </w:rPr>
        <w:t>（3）</w:t>
      </w:r>
      <w:r>
        <w:rPr>
          <w:rFonts w:hint="default" w:ascii="宋体" w:hAnsi="宋体" w:eastAsia="宋体" w:cs="宋体"/>
          <w:b/>
          <w:bCs/>
          <w:color w:val="auto"/>
          <w:kern w:val="2"/>
          <w:sz w:val="28"/>
          <w:szCs w:val="28"/>
          <w:lang w:val="en-US" w:eastAsia="zh-CN" w:bidi="ar-SA"/>
        </w:rPr>
        <w:t>教学改革与创新成果</w:t>
      </w:r>
    </w:p>
    <w:p w14:paraId="18DBD441">
      <w:pPr>
        <w:numPr>
          <w:ilvl w:val="0"/>
          <w:numId w:val="0"/>
        </w:numPr>
        <w:spacing w:line="240" w:lineRule="auto"/>
        <w:ind w:firstLine="560" w:firstLineChars="200"/>
        <w:rPr>
          <w:rFonts w:hint="eastAsia"/>
          <w:lang w:eastAsia="zh-CN"/>
        </w:rPr>
      </w:pPr>
      <w:r>
        <w:rPr>
          <w:rFonts w:hint="eastAsia" w:ascii="宋体" w:hAnsi="宋体" w:eastAsia="宋体" w:cs="宋体"/>
          <w:b w:val="0"/>
          <w:bCs w:val="0"/>
          <w:color w:val="000000"/>
          <w:sz w:val="28"/>
          <w:szCs w:val="28"/>
          <w:lang w:val="en-US" w:eastAsia="zh-CN"/>
        </w:rPr>
        <w:t>2020年</w:t>
      </w:r>
      <w:r>
        <w:rPr>
          <w:rFonts w:hint="default" w:ascii="宋体" w:hAnsi="宋体" w:eastAsia="宋体" w:cs="宋体"/>
          <w:b w:val="0"/>
          <w:bCs w:val="0"/>
          <w:color w:val="000000"/>
          <w:sz w:val="28"/>
          <w:szCs w:val="28"/>
          <w:lang w:val="en-US" w:eastAsia="zh-CN"/>
        </w:rPr>
        <w:t>以专项课题为引领，深入推进研究生课程教学改革，获批省级研究生教育改革与质量提升工程项目</w:t>
      </w:r>
      <w:r>
        <w:rPr>
          <w:rFonts w:hint="eastAsia" w:ascii="宋体" w:hAnsi="宋体" w:eastAsia="宋体" w:cs="宋体"/>
          <w:b w:val="0"/>
          <w:bCs w:val="0"/>
          <w:color w:val="000000"/>
          <w:sz w:val="28"/>
          <w:szCs w:val="28"/>
          <w:lang w:val="en-US" w:eastAsia="zh-CN"/>
        </w:rPr>
        <w:t>2</w:t>
      </w:r>
      <w:r>
        <w:rPr>
          <w:rFonts w:hint="default" w:ascii="宋体" w:hAnsi="宋体" w:eastAsia="宋体" w:cs="宋体"/>
          <w:b w:val="0"/>
          <w:bCs w:val="0"/>
          <w:color w:val="000000"/>
          <w:sz w:val="28"/>
          <w:szCs w:val="28"/>
          <w:lang w:val="en-US" w:eastAsia="zh-CN"/>
        </w:rPr>
        <w:t>项</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资助经费</w:t>
      </w:r>
      <w:r>
        <w:rPr>
          <w:rFonts w:hint="eastAsia" w:ascii="宋体" w:hAnsi="宋体" w:eastAsia="宋体" w:cs="宋体"/>
          <w:b w:val="0"/>
          <w:bCs w:val="0"/>
          <w:color w:val="000000"/>
          <w:sz w:val="28"/>
          <w:szCs w:val="28"/>
          <w:lang w:val="en-US" w:eastAsia="zh-CN"/>
        </w:rPr>
        <w:t>21.5</w:t>
      </w:r>
      <w:r>
        <w:rPr>
          <w:rFonts w:hint="default" w:ascii="宋体" w:hAnsi="宋体" w:eastAsia="宋体" w:cs="宋体"/>
          <w:b w:val="0"/>
          <w:bCs w:val="0"/>
          <w:color w:val="000000"/>
          <w:sz w:val="28"/>
          <w:szCs w:val="28"/>
          <w:lang w:val="en-US" w:eastAsia="zh-CN"/>
        </w:rPr>
        <w:t>万元</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立项校级研究生教育改革与质量提升工程项目</w:t>
      </w:r>
      <w:r>
        <w:rPr>
          <w:rFonts w:hint="eastAsia" w:ascii="宋体" w:hAnsi="宋体" w:eastAsia="宋体" w:cs="宋体"/>
          <w:b w:val="0"/>
          <w:bCs w:val="0"/>
          <w:color w:val="000000"/>
          <w:sz w:val="28"/>
          <w:szCs w:val="28"/>
          <w:lang w:val="en-US" w:eastAsia="zh-CN"/>
        </w:rPr>
        <w:t>5</w:t>
      </w:r>
      <w:r>
        <w:rPr>
          <w:rFonts w:hint="default" w:ascii="宋体" w:hAnsi="宋体" w:eastAsia="宋体" w:cs="宋体"/>
          <w:b w:val="0"/>
          <w:bCs w:val="0"/>
          <w:color w:val="000000"/>
          <w:sz w:val="28"/>
          <w:szCs w:val="28"/>
          <w:lang w:val="en-US" w:eastAsia="zh-CN"/>
        </w:rPr>
        <w:t>项</w:t>
      </w:r>
      <w:r>
        <w:rPr>
          <w:rFonts w:hint="eastAsia" w:ascii="宋体" w:hAnsi="宋体" w:eastAsia="宋体" w:cs="宋体"/>
          <w:b w:val="0"/>
          <w:bCs w:val="0"/>
          <w:color w:val="000000"/>
          <w:sz w:val="28"/>
          <w:szCs w:val="28"/>
          <w:lang w:val="en-US" w:eastAsia="zh-CN"/>
        </w:rPr>
        <w:t>、</w:t>
      </w:r>
      <w:r>
        <w:rPr>
          <w:rFonts w:hint="default" w:ascii="宋体" w:hAnsi="宋体" w:eastAsia="宋体" w:cs="宋体"/>
          <w:b w:val="0"/>
          <w:bCs w:val="0"/>
          <w:color w:val="000000"/>
          <w:sz w:val="28"/>
          <w:szCs w:val="28"/>
          <w:lang w:val="en-US" w:eastAsia="zh-CN"/>
        </w:rPr>
        <w:t>投入经费</w:t>
      </w:r>
      <w:r>
        <w:rPr>
          <w:rFonts w:hint="eastAsia" w:ascii="宋体" w:hAnsi="宋体" w:eastAsia="宋体" w:cs="宋体"/>
          <w:b w:val="0"/>
          <w:bCs w:val="0"/>
          <w:color w:val="000000"/>
          <w:sz w:val="28"/>
          <w:szCs w:val="28"/>
          <w:lang w:val="en-US" w:eastAsia="zh-CN"/>
        </w:rPr>
        <w:t>5</w:t>
      </w:r>
      <w:r>
        <w:rPr>
          <w:rFonts w:hint="default" w:ascii="宋体" w:hAnsi="宋体" w:eastAsia="宋体" w:cs="宋体"/>
          <w:b w:val="0"/>
          <w:bCs w:val="0"/>
          <w:color w:val="000000"/>
          <w:sz w:val="28"/>
          <w:szCs w:val="28"/>
          <w:lang w:val="en-US" w:eastAsia="zh-CN"/>
        </w:rPr>
        <w:t>万元</w:t>
      </w:r>
      <w:r>
        <w:rPr>
          <w:rFonts w:hint="eastAsia" w:ascii="宋体" w:hAnsi="宋体" w:eastAsia="宋体" w:cs="宋体"/>
          <w:b w:val="0"/>
          <w:bCs w:val="0"/>
          <w:color w:val="000000"/>
          <w:sz w:val="28"/>
          <w:szCs w:val="28"/>
          <w:lang w:val="en-US" w:eastAsia="zh-CN"/>
        </w:rPr>
        <w:t>。</w:t>
      </w:r>
    </w:p>
    <w:p w14:paraId="016C48A3">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5.2.2奖助体系</w:t>
      </w:r>
      <w:r>
        <w:rPr>
          <w:rFonts w:hint="eastAsia" w:ascii="宋体" w:hAnsi="宋体" w:eastAsia="宋体" w:cs="宋体"/>
          <w:color w:val="auto"/>
          <w:kern w:val="0"/>
          <w:sz w:val="28"/>
          <w:szCs w:val="28"/>
          <w:lang w:val="en-US" w:eastAsia="zh-CN" w:bidi="ar"/>
        </w:rPr>
        <w:t xml:space="preserve"> </w:t>
      </w:r>
    </w:p>
    <w:p w14:paraId="5A6C16C6">
      <w:pPr>
        <w:spacing w:line="240" w:lineRule="auto"/>
        <w:ind w:firstLine="562" w:firstLineChars="200"/>
        <w:rPr>
          <w:rFonts w:hint="default" w:ascii="宋体" w:hAnsi="宋体" w:eastAsia="宋体" w:cs="宋体"/>
          <w:b w:val="0"/>
          <w:bCs w:val="0"/>
          <w:kern w:val="2"/>
          <w:sz w:val="28"/>
          <w:szCs w:val="28"/>
          <w:lang w:val="en-US" w:eastAsia="zh-CN" w:bidi="ar-SA"/>
        </w:rPr>
      </w:pPr>
      <w:r>
        <w:rPr>
          <w:rFonts w:hint="default" w:ascii="宋体" w:hAnsi="宋体" w:eastAsia="宋体" w:cs="宋体"/>
          <w:b/>
          <w:bCs/>
          <w:color w:val="auto"/>
          <w:kern w:val="0"/>
          <w:sz w:val="28"/>
          <w:szCs w:val="28"/>
          <w:lang w:val="en-US" w:eastAsia="zh-CN" w:bidi="ar"/>
        </w:rPr>
        <w:t>①</w:t>
      </w:r>
      <w:r>
        <w:rPr>
          <w:rFonts w:hint="eastAsia" w:ascii="宋体" w:hAnsi="宋体" w:eastAsia="宋体" w:cs="宋体"/>
          <w:b/>
          <w:bCs/>
          <w:sz w:val="28"/>
          <w:szCs w:val="28"/>
          <w:lang w:val="en-US" w:eastAsia="zh-CN"/>
        </w:rPr>
        <w:t>构建七位一体国家资助体系。</w:t>
      </w:r>
      <w:r>
        <w:rPr>
          <w:rFonts w:hint="eastAsia" w:ascii="宋体" w:hAnsi="宋体" w:eastAsia="宋体" w:cs="宋体"/>
          <w:sz w:val="28"/>
          <w:szCs w:val="28"/>
          <w:lang w:val="en-US" w:eastAsia="zh-CN"/>
        </w:rPr>
        <w:t>建立了包括国家奖助学金、学业奖学金和国家助学贷款在内的“奖、助、贷、勤、减、免、补”七位一体的</w:t>
      </w:r>
      <w:r>
        <w:rPr>
          <w:rFonts w:hint="eastAsia" w:ascii="宋体" w:hAnsi="宋体" w:eastAsia="宋体" w:cs="宋体"/>
          <w:b w:val="0"/>
          <w:bCs w:val="0"/>
          <w:sz w:val="28"/>
          <w:szCs w:val="28"/>
          <w:lang w:val="en-US" w:eastAsia="zh-CN"/>
        </w:rPr>
        <w:t>国家保障型资</w:t>
      </w:r>
      <w:r>
        <w:rPr>
          <w:rFonts w:hint="eastAsia" w:ascii="宋体" w:hAnsi="宋体" w:eastAsia="宋体" w:cs="宋体"/>
          <w:sz w:val="28"/>
          <w:szCs w:val="28"/>
          <w:lang w:val="en-US" w:eastAsia="zh-CN"/>
        </w:rPr>
        <w:t>助体系。</w:t>
      </w:r>
      <w:r>
        <w:rPr>
          <w:rFonts w:hint="eastAsia" w:ascii="宋体" w:hAnsi="宋体" w:eastAsia="宋体" w:cs="宋体"/>
          <w:b w:val="0"/>
          <w:bCs w:val="0"/>
          <w:sz w:val="28"/>
          <w:szCs w:val="28"/>
        </w:rPr>
        <w:t>博士学业奖学金覆盖面约为</w:t>
      </w:r>
      <w:r>
        <w:rPr>
          <w:rFonts w:hint="eastAsia" w:ascii="宋体" w:hAnsi="宋体" w:eastAsia="宋体" w:cs="宋体"/>
          <w:b w:val="0"/>
          <w:bCs w:val="0"/>
          <w:sz w:val="28"/>
          <w:szCs w:val="28"/>
          <w:lang w:val="en-US" w:eastAsia="zh-CN"/>
        </w:rPr>
        <w:t>学生人数的</w:t>
      </w:r>
      <w:r>
        <w:rPr>
          <w:rFonts w:hint="eastAsia" w:ascii="宋体" w:hAnsi="宋体" w:eastAsia="宋体" w:cs="宋体"/>
          <w:sz w:val="28"/>
          <w:szCs w:val="28"/>
        </w:rPr>
        <w:t>70%</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硕士</w:t>
      </w:r>
      <w:r>
        <w:rPr>
          <w:rFonts w:hint="eastAsia" w:ascii="宋体" w:hAnsi="宋体" w:eastAsia="宋体" w:cs="宋体"/>
          <w:b w:val="0"/>
          <w:bCs w:val="0"/>
          <w:sz w:val="28"/>
          <w:szCs w:val="28"/>
        </w:rPr>
        <w:t>学业奖学金覆盖面约为</w:t>
      </w:r>
      <w:r>
        <w:rPr>
          <w:rFonts w:hint="eastAsia" w:ascii="宋体" w:hAnsi="宋体" w:eastAsia="宋体" w:cs="宋体"/>
          <w:b w:val="0"/>
          <w:bCs w:val="0"/>
          <w:sz w:val="28"/>
          <w:szCs w:val="28"/>
          <w:lang w:val="en-US" w:eastAsia="zh-CN"/>
        </w:rPr>
        <w:t>学生人数的4</w:t>
      </w:r>
      <w:r>
        <w:rPr>
          <w:rFonts w:hint="eastAsia" w:ascii="宋体" w:hAnsi="宋体" w:eastAsia="宋体" w:cs="宋体"/>
          <w:sz w:val="28"/>
          <w:szCs w:val="28"/>
        </w:rPr>
        <w:t>0%；国家助学金覆盖面</w:t>
      </w:r>
      <w:r>
        <w:rPr>
          <w:rFonts w:hint="eastAsia" w:ascii="宋体" w:hAnsi="宋体" w:eastAsia="宋体" w:cs="宋体"/>
          <w:sz w:val="28"/>
          <w:szCs w:val="28"/>
          <w:lang w:val="en-US" w:eastAsia="zh-CN"/>
        </w:rPr>
        <w:t>约</w:t>
      </w:r>
      <w:r>
        <w:rPr>
          <w:rFonts w:hint="eastAsia" w:ascii="宋体" w:hAnsi="宋体" w:eastAsia="宋体" w:cs="宋体"/>
          <w:sz w:val="28"/>
          <w:szCs w:val="28"/>
        </w:rPr>
        <w:t>为</w:t>
      </w:r>
      <w:r>
        <w:rPr>
          <w:rFonts w:hint="eastAsia" w:ascii="宋体" w:hAnsi="宋体" w:eastAsia="宋体" w:cs="宋体"/>
          <w:sz w:val="28"/>
          <w:szCs w:val="28"/>
          <w:lang w:val="en-US" w:eastAsia="zh-CN"/>
        </w:rPr>
        <w:t>100%。</w:t>
      </w:r>
      <w:r>
        <w:rPr>
          <w:rFonts w:hint="default" w:ascii="宋体" w:hAnsi="宋体" w:eastAsia="宋体" w:cs="宋体"/>
          <w:b/>
          <w:bCs/>
          <w:sz w:val="28"/>
          <w:szCs w:val="28"/>
          <w:lang w:val="en-US" w:eastAsia="zh-CN"/>
        </w:rPr>
        <w:t>②</w:t>
      </w:r>
      <w:r>
        <w:rPr>
          <w:rFonts w:hint="eastAsia" w:ascii="宋体" w:hAnsi="宋体" w:eastAsia="宋体" w:cs="宋体"/>
          <w:b/>
          <w:bCs/>
          <w:sz w:val="28"/>
          <w:szCs w:val="28"/>
          <w:lang w:val="en-US" w:eastAsia="zh-CN"/>
        </w:rPr>
        <w:t>打造多元化研究生奖助平台。</w:t>
      </w:r>
      <w:r>
        <w:rPr>
          <w:rFonts w:hint="eastAsia" w:ascii="宋体" w:hAnsi="宋体" w:eastAsia="宋体" w:cs="宋体"/>
          <w:b w:val="0"/>
          <w:bCs w:val="0"/>
          <w:sz w:val="28"/>
          <w:szCs w:val="28"/>
          <w:lang w:val="en-US" w:eastAsia="zh-CN"/>
        </w:rPr>
        <w:t>构建涵盖国家、高校及社会各层面的三级奖助学金制度，我校研究生奖学金校内覆盖率高达40%，并成功吸引诸如康仁堂等多家企业设立专项奖学金，共同促进多元化资助体系的形成</w:t>
      </w:r>
      <w:r>
        <w:rPr>
          <w:rFonts w:hint="eastAsia" w:ascii="宋体" w:hAnsi="宋体" w:eastAsia="宋体" w:cs="宋体"/>
          <w:sz w:val="28"/>
          <w:szCs w:val="28"/>
          <w:lang w:val="en-US" w:eastAsia="zh-CN"/>
        </w:rPr>
        <w:t>。</w:t>
      </w:r>
      <w:r>
        <w:rPr>
          <w:rFonts w:hint="default" w:ascii="宋体" w:hAnsi="宋体" w:eastAsia="宋体" w:cs="宋体"/>
          <w:b/>
          <w:bCs/>
          <w:color w:val="000000"/>
          <w:kern w:val="0"/>
          <w:sz w:val="28"/>
          <w:szCs w:val="28"/>
          <w:lang w:val="en-US" w:eastAsia="zh-CN" w:bidi="ar"/>
        </w:rPr>
        <w:t>③</w:t>
      </w:r>
      <w:r>
        <w:rPr>
          <w:rFonts w:hint="eastAsia" w:ascii="宋体" w:hAnsi="宋体" w:eastAsia="宋体" w:cs="宋体"/>
          <w:b/>
          <w:bCs/>
          <w:sz w:val="28"/>
          <w:szCs w:val="28"/>
          <w:lang w:val="en-US" w:eastAsia="zh-CN"/>
        </w:rPr>
        <w:t>临时性补助优化研究生奖助体系</w:t>
      </w:r>
      <w:r>
        <w:rPr>
          <w:rFonts w:hint="eastAsia" w:ascii="宋体" w:hAnsi="宋体" w:eastAsia="宋体" w:cs="宋体"/>
          <w:b/>
          <w:bCs/>
          <w:sz w:val="28"/>
          <w:szCs w:val="28"/>
          <w:lang w:eastAsia="zh-CN"/>
        </w:rPr>
        <w:t>。</w:t>
      </w:r>
      <w:r>
        <w:rPr>
          <w:rFonts w:hint="eastAsia" w:ascii="宋体" w:hAnsi="宋体" w:eastAsia="宋体" w:cs="宋体"/>
          <w:b w:val="0"/>
          <w:bCs w:val="0"/>
          <w:sz w:val="28"/>
          <w:szCs w:val="28"/>
          <w:lang w:val="en-US" w:eastAsia="zh-CN"/>
        </w:rPr>
        <w:t>学位点</w:t>
      </w:r>
      <w:r>
        <w:rPr>
          <w:rFonts w:hint="eastAsia" w:ascii="宋体" w:hAnsi="宋体" w:eastAsia="宋体" w:cs="宋体"/>
          <w:b w:val="0"/>
          <w:bCs w:val="0"/>
          <w:sz w:val="28"/>
          <w:szCs w:val="28"/>
        </w:rPr>
        <w:t>建立</w:t>
      </w:r>
      <w:r>
        <w:rPr>
          <w:rFonts w:hint="eastAsia" w:ascii="宋体" w:hAnsi="宋体" w:eastAsia="宋体" w:cs="宋体"/>
          <w:b w:val="0"/>
          <w:bCs w:val="0"/>
          <w:kern w:val="2"/>
          <w:sz w:val="28"/>
          <w:szCs w:val="28"/>
          <w:lang w:val="en-US" w:eastAsia="zh-CN" w:bidi="ar-SA"/>
        </w:rPr>
        <w:t>研究生“三助一辅”、困难补助、学费减免、突发事件处理、学生福利、贷款代偿等保障型资助活动支出，保证研究生顺利完成学业。</w:t>
      </w:r>
    </w:p>
    <w:p w14:paraId="1B98A50A">
      <w:pPr>
        <w:spacing w:line="240" w:lineRule="auto"/>
        <w:ind w:firstLine="562" w:firstLineChars="200"/>
        <w:rPr>
          <w:rFonts w:hint="default" w:ascii="宋体" w:hAnsi="宋体" w:eastAsia="宋体" w:cs="宋体"/>
          <w:bCs w:val="0"/>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5.2.3</w:t>
      </w:r>
      <w:r>
        <w:rPr>
          <w:rFonts w:hint="eastAsia" w:ascii="宋体" w:hAnsi="宋体" w:eastAsia="宋体" w:cs="宋体"/>
          <w:b/>
          <w:bCs/>
          <w:color w:val="000000"/>
          <w:sz w:val="28"/>
          <w:szCs w:val="28"/>
        </w:rPr>
        <w:t>学术训练</w:t>
      </w:r>
    </w:p>
    <w:p w14:paraId="168F9B33">
      <w:pPr>
        <w:spacing w:line="240" w:lineRule="auto"/>
        <w:ind w:firstLine="562" w:firstLineChars="200"/>
        <w:rPr>
          <w:rFonts w:hint="default"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（1）多层次丰富学术训练</w:t>
      </w:r>
    </w:p>
    <w:p w14:paraId="58C87CA2">
      <w:pPr>
        <w:spacing w:line="240" w:lineRule="auto"/>
        <w:ind w:firstLine="560" w:firstLineChars="200"/>
        <w:rPr>
          <w:rFonts w:hint="eastAsia" w:ascii="宋体" w:hAnsi="宋体" w:eastAsia="宋体" w:cs="宋体"/>
          <w:bCs w:val="0"/>
          <w:color w:val="000000"/>
          <w:kern w:val="2"/>
          <w:sz w:val="28"/>
          <w:szCs w:val="28"/>
          <w:lang w:val="en-US" w:eastAsia="zh-CN" w:bidi="ar-SA"/>
        </w:rPr>
      </w:pPr>
      <w:r>
        <w:rPr>
          <w:rFonts w:hint="default" w:ascii="宋体" w:hAnsi="宋体" w:eastAsia="宋体" w:cs="宋体"/>
          <w:bCs w:val="0"/>
          <w:color w:val="000000"/>
          <w:kern w:val="2"/>
          <w:sz w:val="28"/>
          <w:szCs w:val="28"/>
          <w:lang w:val="en-US" w:eastAsia="zh-CN" w:bidi="ar-SA"/>
        </w:rPr>
        <w:t>开展实验设计、数据分析、论文写作等方面的基础训练，提升科研基本功</w:t>
      </w:r>
      <w:r>
        <w:rPr>
          <w:rFonts w:hint="eastAsia" w:ascii="宋体" w:hAnsi="宋体" w:eastAsia="宋体" w:cs="宋体"/>
          <w:bCs w:val="0"/>
          <w:color w:val="000000"/>
          <w:kern w:val="2"/>
          <w:sz w:val="28"/>
          <w:szCs w:val="28"/>
          <w:lang w:val="en-US" w:eastAsia="zh-CN" w:bidi="ar-SA"/>
        </w:rPr>
        <w:t>；在导师指导下结合学科发展前沿，确定研究方向，制定研究计划，提升科研能力；举办</w:t>
      </w:r>
      <w:r>
        <w:rPr>
          <w:rFonts w:hint="default" w:ascii="宋体" w:hAnsi="宋体" w:eastAsia="宋体" w:cs="宋体"/>
          <w:bCs w:val="0"/>
          <w:color w:val="000000"/>
          <w:kern w:val="2"/>
          <w:sz w:val="28"/>
          <w:szCs w:val="28"/>
          <w:lang w:val="en-US" w:eastAsia="zh-CN" w:bidi="ar-SA"/>
        </w:rPr>
        <w:t>仲景</w:t>
      </w:r>
      <w:r>
        <w:rPr>
          <w:rFonts w:hint="eastAsia" w:ascii="宋体" w:hAnsi="宋体" w:eastAsia="宋体" w:cs="宋体"/>
          <w:bCs w:val="0"/>
          <w:color w:val="000000"/>
          <w:kern w:val="2"/>
          <w:sz w:val="28"/>
          <w:szCs w:val="28"/>
          <w:lang w:val="en-US" w:eastAsia="zh-CN" w:bidi="ar-SA"/>
        </w:rPr>
        <w:t>硕博</w:t>
      </w:r>
      <w:r>
        <w:rPr>
          <w:rFonts w:hint="default" w:ascii="宋体" w:hAnsi="宋体" w:eastAsia="宋体" w:cs="宋体"/>
          <w:bCs w:val="0"/>
          <w:color w:val="000000"/>
          <w:kern w:val="2"/>
          <w:sz w:val="28"/>
          <w:szCs w:val="28"/>
          <w:lang w:val="en-US" w:eastAsia="zh-CN" w:bidi="ar-SA"/>
        </w:rPr>
        <w:t>论坛</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专家</w:t>
      </w:r>
      <w:r>
        <w:rPr>
          <w:rFonts w:hint="eastAsia" w:ascii="宋体" w:hAnsi="宋体" w:eastAsia="宋体" w:cs="宋体"/>
          <w:bCs w:val="0"/>
          <w:color w:val="000000"/>
          <w:kern w:val="2"/>
          <w:sz w:val="28"/>
          <w:szCs w:val="28"/>
          <w:lang w:val="en-US" w:eastAsia="zh-CN" w:bidi="ar-SA"/>
        </w:rPr>
        <w:t>学术讲座、</w:t>
      </w:r>
      <w:r>
        <w:rPr>
          <w:rFonts w:hint="default" w:ascii="宋体" w:hAnsi="宋体" w:eastAsia="宋体" w:cs="宋体"/>
          <w:bCs w:val="0"/>
          <w:color w:val="000000"/>
          <w:kern w:val="2"/>
          <w:sz w:val="28"/>
          <w:szCs w:val="28"/>
          <w:lang w:val="en-US" w:eastAsia="zh-CN" w:bidi="ar-SA"/>
        </w:rPr>
        <w:t>科研工作坊</w:t>
      </w:r>
      <w:r>
        <w:rPr>
          <w:rFonts w:hint="eastAsia" w:ascii="宋体" w:hAnsi="宋体" w:eastAsia="宋体" w:cs="宋体"/>
          <w:bCs w:val="0"/>
          <w:color w:val="000000"/>
          <w:kern w:val="2"/>
          <w:sz w:val="28"/>
          <w:szCs w:val="28"/>
          <w:lang w:val="en-US" w:eastAsia="zh-CN" w:bidi="ar-SA"/>
        </w:rPr>
        <w:t>和</w:t>
      </w:r>
      <w:r>
        <w:rPr>
          <w:rFonts w:hint="default" w:ascii="宋体" w:hAnsi="宋体" w:eastAsia="宋体" w:cs="宋体"/>
          <w:bCs w:val="0"/>
          <w:color w:val="000000"/>
          <w:kern w:val="2"/>
          <w:sz w:val="28"/>
          <w:szCs w:val="28"/>
          <w:lang w:val="en-US" w:eastAsia="zh-CN" w:bidi="ar-SA"/>
        </w:rPr>
        <w:t>学术沙龙</w:t>
      </w:r>
      <w:r>
        <w:rPr>
          <w:rFonts w:hint="eastAsia" w:ascii="宋体" w:hAnsi="宋体" w:eastAsia="宋体" w:cs="宋体"/>
          <w:bCs w:val="0"/>
          <w:color w:val="000000"/>
          <w:kern w:val="2"/>
          <w:sz w:val="28"/>
          <w:szCs w:val="28"/>
          <w:lang w:val="en-US" w:eastAsia="zh-CN" w:bidi="ar-SA"/>
        </w:rPr>
        <w:t>等活动，激发创新思维。</w:t>
      </w:r>
      <w:r>
        <w:rPr>
          <w:rFonts w:hint="default" w:ascii="宋体" w:hAnsi="宋体" w:eastAsia="宋体" w:cs="宋体"/>
          <w:b w:val="0"/>
          <w:bCs w:val="0"/>
          <w:color w:val="000000"/>
          <w:kern w:val="2"/>
          <w:sz w:val="28"/>
          <w:szCs w:val="28"/>
          <w:lang w:val="en-US" w:eastAsia="zh-CN" w:bidi="ar-SA"/>
        </w:rPr>
        <w:t>建立</w:t>
      </w:r>
      <w:r>
        <w:rPr>
          <w:rFonts w:hint="eastAsia" w:ascii="宋体" w:hAnsi="宋体" w:eastAsia="宋体" w:cs="宋体"/>
          <w:b w:val="0"/>
          <w:bCs w:val="0"/>
          <w:color w:val="000000"/>
          <w:kern w:val="2"/>
          <w:sz w:val="28"/>
          <w:szCs w:val="28"/>
          <w:lang w:val="en-US" w:eastAsia="zh-CN" w:bidi="ar-SA"/>
        </w:rPr>
        <w:t>“</w:t>
      </w:r>
      <w:r>
        <w:rPr>
          <w:rFonts w:hint="default" w:ascii="宋体" w:hAnsi="宋体" w:eastAsia="宋体" w:cs="宋体"/>
          <w:b w:val="0"/>
          <w:bCs w:val="0"/>
          <w:color w:val="000000"/>
          <w:kern w:val="2"/>
          <w:sz w:val="28"/>
          <w:szCs w:val="28"/>
          <w:lang w:val="en-US" w:eastAsia="zh-CN" w:bidi="ar-SA"/>
        </w:rPr>
        <w:t>基础-专业-前沿</w:t>
      </w:r>
      <w:r>
        <w:rPr>
          <w:rFonts w:hint="eastAsia" w:ascii="宋体" w:hAnsi="宋体" w:eastAsia="宋体" w:cs="宋体"/>
          <w:b w:val="0"/>
          <w:bCs w:val="0"/>
          <w:color w:val="000000"/>
          <w:kern w:val="2"/>
          <w:sz w:val="28"/>
          <w:szCs w:val="28"/>
          <w:lang w:val="en-US" w:eastAsia="zh-CN" w:bidi="ar-SA"/>
        </w:rPr>
        <w:t>”</w:t>
      </w:r>
      <w:r>
        <w:rPr>
          <w:rFonts w:hint="default" w:ascii="宋体" w:hAnsi="宋体" w:eastAsia="宋体" w:cs="宋体"/>
          <w:b w:val="0"/>
          <w:bCs w:val="0"/>
          <w:color w:val="000000"/>
          <w:kern w:val="2"/>
          <w:sz w:val="28"/>
          <w:szCs w:val="28"/>
          <w:lang w:val="en-US" w:eastAsia="zh-CN" w:bidi="ar-SA"/>
        </w:rPr>
        <w:t>三级</w:t>
      </w:r>
      <w:r>
        <w:rPr>
          <w:rFonts w:hint="eastAsia" w:ascii="宋体" w:hAnsi="宋体" w:eastAsia="宋体" w:cs="宋体"/>
          <w:b w:val="0"/>
          <w:bCs w:val="0"/>
          <w:color w:val="000000"/>
          <w:kern w:val="2"/>
          <w:sz w:val="28"/>
          <w:szCs w:val="28"/>
          <w:lang w:val="en-US" w:eastAsia="zh-CN" w:bidi="ar-SA"/>
        </w:rPr>
        <w:t>科研素养</w:t>
      </w:r>
      <w:r>
        <w:rPr>
          <w:rFonts w:hint="default" w:ascii="宋体" w:hAnsi="宋体" w:eastAsia="宋体" w:cs="宋体"/>
          <w:b w:val="0"/>
          <w:bCs w:val="0"/>
          <w:color w:val="000000"/>
          <w:kern w:val="2"/>
          <w:sz w:val="28"/>
          <w:szCs w:val="28"/>
          <w:lang w:val="en-US" w:eastAsia="zh-CN" w:bidi="ar-SA"/>
        </w:rPr>
        <w:t>培训体系</w:t>
      </w:r>
      <w:r>
        <w:rPr>
          <w:rFonts w:hint="eastAsia" w:ascii="宋体" w:hAnsi="宋体" w:eastAsia="宋体" w:cs="宋体"/>
          <w:b w:val="0"/>
          <w:bCs w:val="0"/>
          <w:color w:val="000000"/>
          <w:kern w:val="2"/>
          <w:sz w:val="28"/>
          <w:szCs w:val="28"/>
          <w:lang w:val="en-US" w:eastAsia="zh-CN" w:bidi="ar-SA"/>
        </w:rPr>
        <w:t>，夯实博士研究生的理论基础，提升专业技能，开拓学术视野，培养具有创新精神和国际竞争力的高层次人才。</w:t>
      </w:r>
    </w:p>
    <w:p w14:paraId="1BC9E69E">
      <w:pPr>
        <w:spacing w:line="240" w:lineRule="auto"/>
        <w:ind w:firstLine="562" w:firstLineChars="200"/>
        <w:rPr>
          <w:rFonts w:hint="eastAsia" w:ascii="宋体" w:hAnsi="宋体" w:eastAsia="宋体" w:cs="宋体"/>
          <w:bCs w:val="0"/>
          <w:color w:val="000000"/>
          <w:kern w:val="2"/>
          <w:sz w:val="28"/>
          <w:szCs w:val="28"/>
          <w:lang w:val="en-US" w:eastAsia="zh-CN" w:bidi="ar-SA"/>
        </w:rPr>
      </w:pPr>
      <w:r>
        <w:rPr>
          <w:rFonts w:hint="eastAsia" w:ascii="宋体" w:hAnsi="宋体" w:eastAsia="宋体" w:cs="宋体"/>
          <w:b/>
          <w:bCs/>
          <w:color w:val="auto"/>
          <w:kern w:val="2"/>
          <w:sz w:val="28"/>
          <w:szCs w:val="28"/>
          <w:lang w:val="en-US" w:eastAsia="zh-CN" w:bidi="ar-SA"/>
        </w:rPr>
        <w:t>（2）多途径促进科</w:t>
      </w:r>
      <w:r>
        <w:rPr>
          <w:rFonts w:hint="default" w:ascii="宋体" w:hAnsi="宋体" w:eastAsia="宋体" w:cs="宋体"/>
          <w:b/>
          <w:bCs/>
          <w:color w:val="auto"/>
          <w:kern w:val="2"/>
          <w:sz w:val="28"/>
          <w:szCs w:val="28"/>
          <w:lang w:val="en-US" w:eastAsia="zh-CN" w:bidi="ar-SA"/>
        </w:rPr>
        <w:t>教融合</w:t>
      </w:r>
    </w:p>
    <w:p w14:paraId="6049164B">
      <w:pPr>
        <w:spacing w:line="240" w:lineRule="auto"/>
        <w:ind w:firstLine="562" w:firstLineChars="200"/>
        <w:rPr>
          <w:rFonts w:hint="default"/>
          <w:lang w:val="en-US" w:eastAsia="zh-CN"/>
        </w:rPr>
      </w:pPr>
      <w:r>
        <w:rPr>
          <w:rFonts w:hint="default" w:ascii="宋体" w:hAnsi="宋体" w:eastAsia="宋体" w:cs="宋体"/>
          <w:b/>
          <w:bCs/>
          <w:color w:val="auto"/>
          <w:kern w:val="0"/>
          <w:sz w:val="28"/>
          <w:szCs w:val="28"/>
          <w:lang w:val="en-US" w:eastAsia="zh-CN" w:bidi="ar"/>
        </w:rPr>
        <w:t>①</w:t>
      </w:r>
      <w:r>
        <w:rPr>
          <w:rFonts w:hint="default" w:ascii="宋体" w:hAnsi="宋体" w:eastAsia="宋体" w:cs="宋体"/>
          <w:b/>
          <w:bCs/>
          <w:color w:val="000000"/>
          <w:kern w:val="2"/>
          <w:sz w:val="28"/>
          <w:szCs w:val="28"/>
          <w:lang w:val="en-US" w:eastAsia="zh-CN" w:bidi="ar-SA"/>
        </w:rPr>
        <w:t>科研项目支撑体系</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实施</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科研反哺教学</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计划；推行</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项目驱动</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培养模式，博士生学位论文选题100%来源于导师承担的国家级课题；建立</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科研-教学</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协同机制，将科研训练纳入培养方案必修环节。</w:t>
      </w:r>
      <w:r>
        <w:rPr>
          <w:rFonts w:hint="default" w:ascii="宋体" w:hAnsi="宋体" w:eastAsia="宋体" w:cs="宋体"/>
          <w:b/>
          <w:bCs/>
          <w:color w:val="000000"/>
          <w:kern w:val="0"/>
          <w:sz w:val="28"/>
          <w:szCs w:val="28"/>
          <w:lang w:val="en-US" w:eastAsia="zh-CN" w:bidi="ar"/>
        </w:rPr>
        <w:t>②</w:t>
      </w:r>
      <w:r>
        <w:rPr>
          <w:rFonts w:hint="eastAsia" w:ascii="宋体" w:hAnsi="宋体" w:eastAsia="宋体" w:cs="宋体"/>
          <w:b/>
          <w:bCs/>
          <w:color w:val="000000"/>
          <w:kern w:val="2"/>
          <w:sz w:val="28"/>
          <w:szCs w:val="28"/>
          <w:lang w:val="en-US" w:eastAsia="zh-CN" w:bidi="ar-SA"/>
        </w:rPr>
        <w:t>建立“</w:t>
      </w:r>
      <w:r>
        <w:rPr>
          <w:rFonts w:hint="default" w:ascii="宋体" w:hAnsi="宋体" w:eastAsia="宋体" w:cs="宋体"/>
          <w:b/>
          <w:bCs/>
          <w:color w:val="000000"/>
          <w:kern w:val="2"/>
          <w:sz w:val="28"/>
          <w:szCs w:val="28"/>
          <w:lang w:val="en-US" w:eastAsia="zh-CN" w:bidi="ar-SA"/>
        </w:rPr>
        <w:t>以赛促研</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
          <w:bCs/>
          <w:color w:val="000000"/>
          <w:kern w:val="2"/>
          <w:sz w:val="28"/>
          <w:szCs w:val="28"/>
          <w:lang w:val="en-US" w:eastAsia="zh-CN" w:bidi="ar-SA"/>
        </w:rPr>
        <w:t>机制</w:t>
      </w:r>
      <w:r>
        <w:rPr>
          <w:rFonts w:hint="eastAsia" w:ascii="宋体" w:hAnsi="宋体" w:eastAsia="宋体" w:cs="宋体"/>
          <w:b/>
          <w:bCs/>
          <w:color w:val="000000"/>
          <w:kern w:val="2"/>
          <w:sz w:val="28"/>
          <w:szCs w:val="28"/>
          <w:lang w:val="en-US" w:eastAsia="zh-CN" w:bidi="ar-SA"/>
        </w:rPr>
        <w:t>。</w:t>
      </w:r>
      <w:r>
        <w:rPr>
          <w:rFonts w:hint="eastAsia" w:ascii="宋体" w:hAnsi="宋体" w:eastAsia="宋体" w:cs="宋体"/>
          <w:bCs w:val="0"/>
          <w:color w:val="000000"/>
          <w:kern w:val="2"/>
          <w:sz w:val="28"/>
          <w:szCs w:val="28"/>
          <w:lang w:val="en-US" w:eastAsia="zh-CN" w:bidi="ar-SA"/>
        </w:rPr>
        <w:t>鼓励研究生</w:t>
      </w:r>
      <w:r>
        <w:rPr>
          <w:rFonts w:hint="default" w:ascii="宋体" w:hAnsi="宋体" w:eastAsia="宋体" w:cs="宋体"/>
          <w:bCs w:val="0"/>
          <w:color w:val="000000"/>
          <w:kern w:val="2"/>
          <w:sz w:val="28"/>
          <w:szCs w:val="28"/>
          <w:lang w:val="en-US" w:eastAsia="zh-CN" w:bidi="ar-SA"/>
        </w:rPr>
        <w:t>参加各类高水平学术竞赛；设立竞赛专项指导团队，提供全程指导；建立竞赛奖励机制，激发参与热情。</w:t>
      </w:r>
      <w:r>
        <w:rPr>
          <w:rFonts w:hint="eastAsia" w:ascii="宋体" w:hAnsi="宋体" w:eastAsia="宋体" w:cs="宋体"/>
          <w:bCs w:val="0"/>
          <w:color w:val="000000"/>
          <w:kern w:val="2"/>
          <w:sz w:val="28"/>
          <w:szCs w:val="28"/>
          <w:lang w:val="en-US" w:eastAsia="zh-CN" w:bidi="ar-SA"/>
        </w:rPr>
        <w:t>2020年</w:t>
      </w:r>
      <w:r>
        <w:rPr>
          <w:rFonts w:hint="default" w:ascii="宋体" w:hAnsi="宋体" w:eastAsia="宋体" w:cs="宋体"/>
          <w:bCs w:val="0"/>
          <w:color w:val="000000"/>
          <w:kern w:val="2"/>
          <w:sz w:val="28"/>
          <w:szCs w:val="28"/>
          <w:lang w:val="en-US" w:eastAsia="zh-CN" w:bidi="ar-SA"/>
        </w:rPr>
        <w:t>获</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岐黄杯</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全国中医药博士生论文大赛</w:t>
      </w:r>
      <w:r>
        <w:rPr>
          <w:rFonts w:hint="eastAsia" w:ascii="宋体" w:hAnsi="宋体" w:eastAsia="宋体" w:cs="宋体"/>
          <w:bCs w:val="0"/>
          <w:color w:val="000000"/>
          <w:kern w:val="2"/>
          <w:sz w:val="28"/>
          <w:szCs w:val="28"/>
          <w:lang w:val="en-US" w:eastAsia="zh-CN" w:bidi="ar-SA"/>
        </w:rPr>
        <w:t>二</w:t>
      </w:r>
      <w:r>
        <w:rPr>
          <w:rFonts w:hint="default" w:ascii="宋体" w:hAnsi="宋体" w:eastAsia="宋体" w:cs="宋体"/>
          <w:bCs w:val="0"/>
          <w:color w:val="000000"/>
          <w:kern w:val="2"/>
          <w:sz w:val="28"/>
          <w:szCs w:val="28"/>
          <w:lang w:val="en-US" w:eastAsia="zh-CN" w:bidi="ar-SA"/>
        </w:rPr>
        <w:t>等奖</w:t>
      </w:r>
      <w:r>
        <w:rPr>
          <w:rFonts w:hint="eastAsia" w:ascii="宋体" w:hAnsi="宋体" w:eastAsia="宋体" w:cs="宋体"/>
          <w:bCs w:val="0"/>
          <w:color w:val="000000"/>
          <w:kern w:val="2"/>
          <w:sz w:val="28"/>
          <w:szCs w:val="28"/>
          <w:lang w:val="en-US" w:eastAsia="zh-CN" w:bidi="ar-SA"/>
        </w:rPr>
        <w:t>1</w:t>
      </w:r>
      <w:r>
        <w:rPr>
          <w:rFonts w:hint="default" w:ascii="宋体" w:hAnsi="宋体" w:eastAsia="宋体" w:cs="宋体"/>
          <w:bCs w:val="0"/>
          <w:color w:val="000000"/>
          <w:kern w:val="2"/>
          <w:sz w:val="28"/>
          <w:szCs w:val="28"/>
          <w:lang w:val="en-US" w:eastAsia="zh-CN" w:bidi="ar-SA"/>
        </w:rPr>
        <w:t>项、</w:t>
      </w:r>
      <w:r>
        <w:rPr>
          <w:rFonts w:hint="eastAsia" w:ascii="宋体" w:hAnsi="宋体" w:eastAsia="宋体" w:cs="宋体"/>
          <w:bCs w:val="0"/>
          <w:color w:val="000000"/>
          <w:kern w:val="2"/>
          <w:sz w:val="28"/>
          <w:szCs w:val="28"/>
          <w:lang w:val="en-US" w:eastAsia="zh-CN" w:bidi="ar-SA"/>
        </w:rPr>
        <w:t>三</w:t>
      </w:r>
      <w:r>
        <w:rPr>
          <w:rFonts w:hint="default" w:ascii="宋体" w:hAnsi="宋体" w:eastAsia="宋体" w:cs="宋体"/>
          <w:bCs w:val="0"/>
          <w:color w:val="000000"/>
          <w:kern w:val="2"/>
          <w:sz w:val="28"/>
          <w:szCs w:val="28"/>
          <w:lang w:val="en-US" w:eastAsia="zh-CN" w:bidi="ar-SA"/>
        </w:rPr>
        <w:t>等奖1项。</w:t>
      </w:r>
    </w:p>
    <w:p w14:paraId="17587F70">
      <w:pPr>
        <w:spacing w:line="240" w:lineRule="auto"/>
        <w:ind w:firstLine="562" w:firstLineChars="200"/>
        <w:rPr>
          <w:rFonts w:hint="eastAsia" w:ascii="宋体" w:hAnsi="宋体" w:eastAsia="宋体" w:cs="宋体"/>
          <w:bCs w:val="0"/>
          <w:color w:val="000000"/>
          <w:kern w:val="2"/>
          <w:sz w:val="28"/>
          <w:szCs w:val="28"/>
          <w:lang w:val="en-US" w:eastAsia="zh-CN" w:bidi="ar-SA"/>
        </w:rPr>
      </w:pPr>
      <w:bookmarkStart w:id="1" w:name="_Toc16120_WPSOffice_Level3"/>
      <w:r>
        <w:rPr>
          <w:rFonts w:hint="eastAsia" w:ascii="宋体" w:hAnsi="宋体" w:eastAsia="宋体" w:cs="宋体"/>
          <w:b/>
          <w:bCs/>
          <w:color w:val="000000"/>
          <w:kern w:val="2"/>
          <w:sz w:val="28"/>
          <w:szCs w:val="28"/>
          <w:lang w:val="en-US" w:eastAsia="zh-CN" w:bidi="ar-SA"/>
        </w:rPr>
        <w:t>5.2.4</w:t>
      </w:r>
      <w:r>
        <w:rPr>
          <w:rFonts w:hint="eastAsia" w:ascii="宋体" w:hAnsi="宋体" w:eastAsia="宋体" w:cs="宋体"/>
          <w:b/>
          <w:color w:val="000000"/>
          <w:sz w:val="28"/>
          <w:szCs w:val="28"/>
        </w:rPr>
        <w:t>学术交流</w:t>
      </w:r>
      <w:bookmarkEnd w:id="1"/>
    </w:p>
    <w:p w14:paraId="27FD72EB">
      <w:pPr>
        <w:spacing w:line="240" w:lineRule="auto"/>
        <w:ind w:firstLine="562" w:firstLineChars="200"/>
        <w:rPr>
          <w:rFonts w:hint="default"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（1）营造</w:t>
      </w:r>
      <w:r>
        <w:rPr>
          <w:rFonts w:hint="default" w:ascii="宋体" w:hAnsi="宋体" w:eastAsia="宋体" w:cs="宋体"/>
          <w:b/>
          <w:bCs/>
          <w:color w:val="000000"/>
          <w:kern w:val="2"/>
          <w:sz w:val="28"/>
          <w:szCs w:val="28"/>
          <w:lang w:val="en-US" w:eastAsia="zh-CN" w:bidi="ar-SA"/>
        </w:rPr>
        <w:t>多元化学术交流</w:t>
      </w:r>
      <w:r>
        <w:rPr>
          <w:rFonts w:hint="eastAsia" w:ascii="宋体" w:hAnsi="宋体" w:eastAsia="宋体" w:cs="宋体"/>
          <w:b/>
          <w:bCs/>
          <w:color w:val="000000"/>
          <w:kern w:val="2"/>
          <w:sz w:val="28"/>
          <w:szCs w:val="28"/>
          <w:lang w:val="en-US" w:eastAsia="zh-CN" w:bidi="ar-SA"/>
        </w:rPr>
        <w:t>氛围</w:t>
      </w:r>
      <w:r>
        <w:rPr>
          <w:rFonts w:hint="default" w:ascii="宋体" w:hAnsi="宋体" w:eastAsia="宋体" w:cs="宋体"/>
          <w:b/>
          <w:bCs/>
          <w:color w:val="000000"/>
          <w:kern w:val="2"/>
          <w:sz w:val="28"/>
          <w:szCs w:val="28"/>
          <w:lang w:val="en-US" w:eastAsia="zh-CN" w:bidi="ar-SA"/>
        </w:rPr>
        <w:t>：深化思维碰撞，激发创新火花</w:t>
      </w:r>
    </w:p>
    <w:p w14:paraId="67FEDAE0">
      <w:pPr>
        <w:spacing w:line="240" w:lineRule="auto"/>
        <w:ind w:firstLine="560" w:firstLineChars="200"/>
        <w:rPr>
          <w:rFonts w:hint="eastAsia"/>
          <w:lang w:val="en-US" w:eastAsia="zh-CN"/>
        </w:rPr>
      </w:pPr>
      <w:r>
        <w:rPr>
          <w:rFonts w:hint="eastAsia" w:ascii="宋体" w:hAnsi="宋体" w:eastAsia="宋体" w:cs="宋体"/>
          <w:b w:val="0"/>
          <w:bCs w:val="0"/>
          <w:color w:val="auto"/>
          <w:kern w:val="2"/>
          <w:sz w:val="28"/>
          <w:szCs w:val="28"/>
          <w:lang w:val="en-US" w:eastAsia="zh-CN" w:bidi="ar-SA"/>
        </w:rPr>
        <w:t>学位点除举办研究生硕博论坛、名师讲座及仲景文化节的活动外，多位研究生导师在国家级学会中担任主委和副主委，成功举办了如“中国中医经方大会”、“黄河心血管病防治论坛”在内的一系列高质量、高水平的国内外学术会议，并设置硕博分论坛，参与研究生累计超过600人次，为研究生提供了直接与领域专家对话的机会</w:t>
      </w:r>
      <w:r>
        <w:rPr>
          <w:rFonts w:hint="default" w:ascii="宋体" w:hAnsi="宋体" w:eastAsia="宋体" w:cs="宋体"/>
          <w:b w:val="0"/>
          <w:bCs w:val="0"/>
          <w:color w:val="auto"/>
          <w:kern w:val="2"/>
          <w:sz w:val="28"/>
          <w:szCs w:val="28"/>
          <w:lang w:val="en-US" w:eastAsia="zh-CN" w:bidi="ar-SA"/>
        </w:rPr>
        <w:t>。</w:t>
      </w:r>
    </w:p>
    <w:p w14:paraId="26822A7B">
      <w:pPr>
        <w:spacing w:line="240" w:lineRule="auto"/>
        <w:ind w:firstLine="562" w:firstLineChars="200"/>
        <w:rPr>
          <w:rFonts w:hint="default"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（2）</w:t>
      </w:r>
      <w:r>
        <w:rPr>
          <w:rFonts w:hint="default" w:ascii="宋体" w:hAnsi="宋体" w:eastAsia="宋体" w:cs="宋体"/>
          <w:b/>
          <w:bCs/>
          <w:color w:val="000000"/>
          <w:kern w:val="2"/>
          <w:sz w:val="28"/>
          <w:szCs w:val="28"/>
          <w:lang w:val="en-US" w:eastAsia="zh-CN" w:bidi="ar-SA"/>
        </w:rPr>
        <w:t>搭建国际化学术交流平台</w:t>
      </w:r>
      <w:r>
        <w:rPr>
          <w:rFonts w:hint="eastAsia" w:ascii="宋体" w:hAnsi="宋体" w:eastAsia="宋体" w:cs="宋体"/>
          <w:b/>
          <w:bCs/>
          <w:color w:val="000000"/>
          <w:kern w:val="2"/>
          <w:sz w:val="28"/>
          <w:szCs w:val="28"/>
          <w:lang w:val="en-US" w:eastAsia="zh-CN" w:bidi="ar-SA"/>
        </w:rPr>
        <w:t>：架设国际桥梁</w:t>
      </w:r>
      <w:r>
        <w:rPr>
          <w:rFonts w:hint="default" w:ascii="宋体" w:hAnsi="宋体" w:eastAsia="宋体" w:cs="宋体"/>
          <w:b/>
          <w:bCs/>
          <w:color w:val="000000"/>
          <w:kern w:val="2"/>
          <w:sz w:val="28"/>
          <w:szCs w:val="28"/>
          <w:lang w:val="en-US" w:eastAsia="zh-CN" w:bidi="ar-SA"/>
        </w:rPr>
        <w:t>，拓宽国际视野</w:t>
      </w:r>
    </w:p>
    <w:p w14:paraId="74B54FF3">
      <w:pPr>
        <w:spacing w:line="240" w:lineRule="auto"/>
        <w:ind w:firstLine="560" w:firstLineChars="200"/>
        <w:rPr>
          <w:rFonts w:hint="default" w:ascii="宋体" w:hAnsi="宋体" w:eastAsia="宋体" w:cs="宋体"/>
          <w:bCs w:val="0"/>
          <w:color w:val="000000"/>
          <w:kern w:val="2"/>
          <w:sz w:val="28"/>
          <w:szCs w:val="28"/>
          <w:lang w:val="en-US" w:eastAsia="zh-CN" w:bidi="ar-SA"/>
        </w:rPr>
      </w:pPr>
      <w:r>
        <w:rPr>
          <w:rFonts w:hint="eastAsia" w:ascii="宋体" w:hAnsi="宋体" w:eastAsia="宋体" w:cs="宋体"/>
          <w:bCs w:val="0"/>
          <w:color w:val="000000"/>
          <w:kern w:val="2"/>
          <w:sz w:val="28"/>
          <w:szCs w:val="28"/>
          <w:lang w:val="en-US" w:eastAsia="zh-CN" w:bidi="ar-SA"/>
        </w:rPr>
        <w:t>学位点</w:t>
      </w:r>
      <w:r>
        <w:rPr>
          <w:rFonts w:hint="default" w:ascii="宋体" w:hAnsi="宋体" w:eastAsia="宋体" w:cs="宋体"/>
          <w:bCs w:val="0"/>
          <w:color w:val="000000"/>
          <w:kern w:val="2"/>
          <w:sz w:val="28"/>
          <w:szCs w:val="28"/>
          <w:lang w:val="en-US" w:eastAsia="zh-CN" w:bidi="ar-SA"/>
        </w:rPr>
        <w:t>依托3个中医药国际合作基地和多个校际间学术交流平台，</w:t>
      </w:r>
      <w:r>
        <w:rPr>
          <w:rFonts w:hint="eastAsia" w:ascii="宋体" w:hAnsi="宋体" w:eastAsia="宋体" w:cs="宋体"/>
          <w:color w:val="000000"/>
          <w:sz w:val="28"/>
          <w:szCs w:val="28"/>
          <w:lang w:val="en-US" w:eastAsia="zh-CN"/>
        </w:rPr>
        <w:t>与马来西亚管理科学大学建立“中国-马来西亚仲景中医药中心”助推“一带一路”健康卫生行动</w:t>
      </w:r>
      <w:r>
        <w:rPr>
          <w:rFonts w:hint="eastAsia" w:ascii="宋体" w:hAnsi="宋体" w:eastAsia="宋体" w:cs="宋体"/>
          <w:bCs w:val="0"/>
          <w:color w:val="000000"/>
          <w:kern w:val="2"/>
          <w:sz w:val="28"/>
          <w:szCs w:val="28"/>
          <w:lang w:val="en-US" w:eastAsia="zh-CN" w:bidi="ar-SA"/>
        </w:rPr>
        <w:t>；</w:t>
      </w:r>
      <w:r>
        <w:rPr>
          <w:rFonts w:hint="eastAsia" w:ascii="宋体" w:hAnsi="宋体" w:eastAsia="宋体" w:cs="宋体"/>
          <w:color w:val="000000"/>
          <w:sz w:val="28"/>
          <w:szCs w:val="28"/>
          <w:lang w:val="en-US" w:eastAsia="zh-CN"/>
        </w:rPr>
        <w:t>每年投入专项资金鼓励学生出国(境)开展学术交流活动，</w:t>
      </w:r>
      <w:r>
        <w:rPr>
          <w:rFonts w:hint="default" w:ascii="宋体" w:hAnsi="宋体" w:eastAsia="宋体" w:cs="宋体"/>
          <w:bCs w:val="0"/>
          <w:color w:val="000000"/>
          <w:kern w:val="2"/>
          <w:sz w:val="28"/>
          <w:szCs w:val="28"/>
          <w:lang w:val="en-US" w:eastAsia="zh-CN" w:bidi="ar-SA"/>
        </w:rPr>
        <w:t>不仅开阔了学生的国际视野，</w:t>
      </w:r>
      <w:r>
        <w:rPr>
          <w:rFonts w:hint="eastAsia" w:ascii="宋体" w:hAnsi="宋体" w:eastAsia="宋体" w:cs="宋体"/>
          <w:bCs w:val="0"/>
          <w:color w:val="000000"/>
          <w:kern w:val="2"/>
          <w:sz w:val="28"/>
          <w:szCs w:val="28"/>
          <w:lang w:val="en-US" w:eastAsia="zh-CN" w:bidi="ar-SA"/>
        </w:rPr>
        <w:t>也</w:t>
      </w:r>
      <w:r>
        <w:rPr>
          <w:rFonts w:hint="default" w:ascii="宋体" w:hAnsi="宋体" w:eastAsia="宋体" w:cs="宋体"/>
          <w:bCs w:val="0"/>
          <w:color w:val="000000"/>
          <w:kern w:val="2"/>
          <w:sz w:val="28"/>
          <w:szCs w:val="28"/>
          <w:lang w:val="en-US" w:eastAsia="zh-CN" w:bidi="ar-SA"/>
        </w:rPr>
        <w:t>提升了学生的国际竞争力。</w:t>
      </w:r>
    </w:p>
    <w:p w14:paraId="5CBA0F0F">
      <w:pPr>
        <w:spacing w:line="240" w:lineRule="auto"/>
        <w:ind w:firstLine="562" w:firstLineChars="200"/>
        <w:rPr>
          <w:rFonts w:hint="eastAsia" w:ascii="宋体" w:hAnsi="宋体" w:eastAsia="宋体" w:cs="宋体"/>
          <w:color w:val="000000"/>
          <w:sz w:val="28"/>
          <w:szCs w:val="28"/>
          <w:lang w:val="en-US" w:eastAsia="zh-CN"/>
        </w:rPr>
      </w:pPr>
      <w:r>
        <w:rPr>
          <w:rFonts w:hint="eastAsia" w:ascii="宋体" w:hAnsi="宋体" w:eastAsia="宋体" w:cs="宋体"/>
          <w:b/>
          <w:bCs/>
          <w:color w:val="000000"/>
          <w:kern w:val="2"/>
          <w:sz w:val="28"/>
          <w:szCs w:val="28"/>
          <w:lang w:val="en-US" w:eastAsia="zh-CN" w:bidi="ar-SA"/>
        </w:rPr>
        <w:t>5.2.5</w:t>
      </w:r>
      <w:r>
        <w:rPr>
          <w:rFonts w:hint="eastAsia" w:ascii="宋体" w:hAnsi="宋体" w:eastAsia="宋体" w:cs="宋体"/>
          <w:b/>
          <w:bCs/>
          <w:color w:val="000000"/>
          <w:sz w:val="28"/>
          <w:szCs w:val="28"/>
        </w:rPr>
        <w:t>论文质量</w:t>
      </w:r>
    </w:p>
    <w:p w14:paraId="52F81C55">
      <w:pPr>
        <w:spacing w:line="240" w:lineRule="auto"/>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学位点严格按照大学制定的《河南中医药大学研究生学位论文匿名评审办法（试行）》、《河南中医药大学研究生学位论文答辩工作规定》等多项文件，对学位论文进行</w:t>
      </w:r>
      <w:r>
        <w:rPr>
          <w:rFonts w:hint="eastAsia" w:ascii="宋体" w:hAnsi="宋体" w:eastAsia="宋体" w:cs="宋体"/>
          <w:b w:val="0"/>
          <w:bCs w:val="0"/>
          <w:color w:val="auto"/>
          <w:sz w:val="28"/>
          <w:szCs w:val="28"/>
          <w:lang w:val="en-US" w:eastAsia="zh-CN"/>
        </w:rPr>
        <w:t>全过程质量控制，包括原始材料审查</w:t>
      </w:r>
      <w:r>
        <w:rPr>
          <w:rFonts w:hint="eastAsia" w:ascii="宋体" w:hAnsi="宋体" w:eastAsia="宋体" w:cs="宋体"/>
          <w:color w:val="000000"/>
          <w:sz w:val="28"/>
          <w:szCs w:val="28"/>
          <w:lang w:val="en-US" w:eastAsia="zh-CN"/>
        </w:rPr>
        <w:t>确保科研数据的真实性和可靠性，组织专家进行预</w:t>
      </w:r>
      <w:r>
        <w:rPr>
          <w:rFonts w:hint="eastAsia" w:ascii="宋体" w:hAnsi="宋体" w:eastAsia="宋体" w:cs="宋体"/>
          <w:b w:val="0"/>
          <w:bCs w:val="0"/>
          <w:color w:val="auto"/>
          <w:sz w:val="28"/>
          <w:szCs w:val="28"/>
          <w:lang w:val="en-US" w:eastAsia="zh-CN"/>
        </w:rPr>
        <w:t>答辩对论文进行严格把关，</w:t>
      </w:r>
      <w:r>
        <w:rPr>
          <w:rFonts w:hint="eastAsia" w:ascii="宋体" w:hAnsi="宋体" w:eastAsia="宋体" w:cs="宋体"/>
          <w:color w:val="000000"/>
          <w:sz w:val="28"/>
          <w:szCs w:val="28"/>
          <w:lang w:val="en-US" w:eastAsia="zh-CN"/>
        </w:rPr>
        <w:t>双盲外审以确保评审过程客观公正，学校统一查重杜绝学术不端行为等，保障论文质量。</w:t>
      </w:r>
    </w:p>
    <w:p w14:paraId="65C55050">
      <w:pPr>
        <w:spacing w:line="240" w:lineRule="auto"/>
        <w:ind w:firstLine="560" w:firstLineChars="200"/>
        <w:rPr>
          <w:rFonts w:hint="default" w:ascii="宋体" w:hAnsi="宋体" w:eastAsia="宋体" w:cs="宋体"/>
          <w:b/>
          <w:bCs/>
          <w:color w:val="000000"/>
          <w:sz w:val="28"/>
          <w:szCs w:val="28"/>
          <w:lang w:val="en-US" w:eastAsia="zh-CN"/>
        </w:rPr>
      </w:pPr>
      <w:r>
        <w:rPr>
          <w:rFonts w:hint="eastAsia" w:ascii="宋体" w:hAnsi="宋体" w:eastAsia="宋体" w:cs="宋体"/>
          <w:color w:val="000000"/>
          <w:sz w:val="28"/>
          <w:szCs w:val="28"/>
          <w:lang w:val="en-US" w:eastAsia="zh-CN"/>
        </w:rPr>
        <w:t>2020年学术型</w:t>
      </w:r>
      <w:r>
        <w:rPr>
          <w:rFonts w:hint="eastAsia" w:ascii="宋体" w:hAnsi="宋体" w:eastAsia="宋体" w:cs="宋体"/>
          <w:color w:val="000000"/>
          <w:sz w:val="28"/>
          <w:szCs w:val="28"/>
        </w:rPr>
        <w:t>博士生学位论文</w:t>
      </w:r>
      <w:r>
        <w:rPr>
          <w:rFonts w:hint="eastAsia" w:ascii="宋体" w:hAnsi="宋体" w:eastAsia="宋体" w:cs="宋体"/>
          <w:color w:val="000000"/>
          <w:sz w:val="28"/>
          <w:szCs w:val="28"/>
          <w:lang w:eastAsia="zh-CN"/>
        </w:rPr>
        <w:t>外审</w:t>
      </w:r>
      <w:r>
        <w:rPr>
          <w:rFonts w:hint="eastAsia" w:ascii="宋体" w:hAnsi="宋体" w:eastAsia="宋体" w:cs="宋体"/>
          <w:color w:val="000000"/>
          <w:sz w:val="28"/>
          <w:szCs w:val="28"/>
        </w:rPr>
        <w:t>通过</w:t>
      </w:r>
      <w:r>
        <w:rPr>
          <w:rFonts w:hint="eastAsia" w:ascii="宋体" w:hAnsi="宋体" w:eastAsia="宋体" w:cs="宋体"/>
          <w:color w:val="000000"/>
          <w:sz w:val="28"/>
          <w:szCs w:val="28"/>
          <w:lang w:val="en-US" w:eastAsia="zh-CN"/>
        </w:rPr>
        <w:t>率100%；</w:t>
      </w:r>
      <w:r>
        <w:rPr>
          <w:rFonts w:hint="eastAsia" w:ascii="宋体" w:hAnsi="宋体" w:eastAsia="宋体" w:cs="宋体"/>
          <w:b w:val="0"/>
          <w:bCs w:val="0"/>
          <w:color w:val="auto"/>
          <w:sz w:val="28"/>
          <w:szCs w:val="28"/>
          <w:lang w:val="en-US" w:eastAsia="zh-CN"/>
        </w:rPr>
        <w:t>河南省省级抽检通过率100%；国家级抽检合格率 100%；</w:t>
      </w:r>
      <w:r>
        <w:rPr>
          <w:rFonts w:hint="eastAsia" w:ascii="宋体" w:hAnsi="宋体" w:eastAsia="宋体" w:cs="宋体"/>
          <w:b/>
          <w:bCs/>
          <w:color w:val="000000"/>
          <w:sz w:val="28"/>
          <w:szCs w:val="28"/>
          <w:lang w:val="en-US" w:eastAsia="zh-CN"/>
        </w:rPr>
        <w:t>共</w:t>
      </w:r>
      <w:r>
        <w:rPr>
          <w:rFonts w:hint="eastAsia" w:ascii="宋体" w:hAnsi="宋体" w:eastAsia="宋体" w:cs="宋体"/>
          <w:b/>
          <w:bCs/>
          <w:color w:val="000000"/>
          <w:sz w:val="28"/>
          <w:szCs w:val="28"/>
          <w:lang w:eastAsia="zh-CN"/>
        </w:rPr>
        <w:t>获河南省优秀</w:t>
      </w:r>
      <w:r>
        <w:rPr>
          <w:rFonts w:hint="eastAsia" w:ascii="宋体" w:hAnsi="宋体" w:eastAsia="宋体" w:cs="宋体"/>
          <w:b/>
          <w:bCs/>
          <w:color w:val="000000"/>
          <w:sz w:val="28"/>
          <w:szCs w:val="28"/>
          <w:lang w:val="en-US" w:eastAsia="zh-CN"/>
        </w:rPr>
        <w:t>硕博</w:t>
      </w:r>
      <w:r>
        <w:rPr>
          <w:rFonts w:hint="eastAsia" w:ascii="宋体" w:hAnsi="宋体" w:eastAsia="宋体" w:cs="宋体"/>
          <w:b/>
          <w:bCs/>
          <w:color w:val="000000"/>
          <w:sz w:val="28"/>
          <w:szCs w:val="28"/>
          <w:lang w:eastAsia="zh-CN"/>
        </w:rPr>
        <w:t>毕业论文</w:t>
      </w:r>
      <w:r>
        <w:rPr>
          <w:rFonts w:hint="eastAsia" w:ascii="宋体" w:hAnsi="宋体" w:eastAsia="宋体" w:cs="宋体"/>
          <w:b/>
          <w:bCs/>
          <w:color w:val="000000"/>
          <w:sz w:val="28"/>
          <w:szCs w:val="28"/>
          <w:lang w:val="en-US" w:eastAsia="zh-CN"/>
        </w:rPr>
        <w:t>2</w:t>
      </w:r>
      <w:r>
        <w:rPr>
          <w:rFonts w:hint="eastAsia" w:ascii="宋体" w:hAnsi="宋体" w:eastAsia="宋体" w:cs="宋体"/>
          <w:b/>
          <w:bCs/>
          <w:color w:val="000000"/>
          <w:sz w:val="28"/>
          <w:szCs w:val="28"/>
          <w:lang w:eastAsia="zh-CN"/>
        </w:rPr>
        <w:t>篇。</w:t>
      </w:r>
    </w:p>
    <w:p w14:paraId="20AD92F5">
      <w:pPr>
        <w:spacing w:line="240" w:lineRule="auto"/>
        <w:ind w:firstLine="562" w:firstLineChars="200"/>
        <w:rPr>
          <w:rFonts w:hint="eastAsia" w:ascii="宋体" w:hAnsi="宋体" w:eastAsia="宋体" w:cs="宋体"/>
          <w:color w:val="000000"/>
          <w:sz w:val="28"/>
          <w:szCs w:val="28"/>
          <w:lang w:val="en-US" w:eastAsia="zh-CN"/>
        </w:rPr>
      </w:pPr>
      <w:r>
        <w:rPr>
          <w:rFonts w:hint="eastAsia" w:ascii="宋体" w:hAnsi="宋体" w:eastAsia="宋体" w:cs="宋体"/>
          <w:b/>
          <w:bCs/>
          <w:color w:val="000000"/>
          <w:kern w:val="2"/>
          <w:sz w:val="28"/>
          <w:szCs w:val="28"/>
          <w:lang w:val="en-US" w:eastAsia="zh-CN" w:bidi="ar-SA"/>
        </w:rPr>
        <w:t>5.2.6</w:t>
      </w:r>
      <w:r>
        <w:rPr>
          <w:rFonts w:hint="eastAsia" w:ascii="宋体" w:hAnsi="宋体" w:eastAsia="宋体" w:cs="宋体"/>
          <w:b/>
          <w:bCs/>
          <w:color w:val="000000"/>
          <w:sz w:val="28"/>
          <w:szCs w:val="28"/>
          <w:lang w:val="en-US" w:eastAsia="zh-CN"/>
        </w:rPr>
        <w:t>质量保证</w:t>
      </w:r>
    </w:p>
    <w:p w14:paraId="79A93902">
      <w:pPr>
        <w:spacing w:line="240" w:lineRule="auto"/>
        <w:ind w:firstLine="562" w:firstLineChars="200"/>
        <w:rPr>
          <w:rFonts w:hint="eastAsia" w:ascii="宋体" w:hAnsi="宋体" w:eastAsia="宋体" w:cs="宋体"/>
          <w:color w:val="000000"/>
          <w:sz w:val="28"/>
          <w:szCs w:val="28"/>
          <w:lang w:val="en-US" w:eastAsia="zh-CN"/>
        </w:rPr>
      </w:pPr>
      <w:r>
        <w:rPr>
          <w:rFonts w:hint="eastAsia" w:ascii="宋体" w:hAnsi="宋体" w:eastAsia="宋体" w:cs="宋体"/>
          <w:b/>
          <w:bCs/>
          <w:color w:val="000000"/>
          <w:kern w:val="2"/>
          <w:sz w:val="28"/>
          <w:szCs w:val="28"/>
          <w:lang w:val="en-US" w:eastAsia="zh-CN" w:bidi="ar-SA"/>
        </w:rPr>
        <w:t>（1）</w:t>
      </w:r>
      <w:r>
        <w:rPr>
          <w:rFonts w:hint="eastAsia" w:ascii="宋体" w:hAnsi="宋体" w:eastAsia="宋体" w:cs="宋体"/>
          <w:b/>
          <w:bCs/>
          <w:color w:val="000000"/>
          <w:sz w:val="28"/>
          <w:szCs w:val="28"/>
          <w:lang w:val="en-US" w:eastAsia="zh-CN"/>
        </w:rPr>
        <w:t>严抓培养全过程监控与质量保证</w:t>
      </w:r>
    </w:p>
    <w:p w14:paraId="5EE7EDCA">
      <w:pPr>
        <w:spacing w:line="240" w:lineRule="auto"/>
        <w:ind w:firstLine="562" w:firstLineChars="200"/>
        <w:rPr>
          <w:rFonts w:hint="eastAsia" w:ascii="宋体" w:hAnsi="宋体" w:eastAsia="宋体" w:cs="宋体"/>
          <w:color w:val="000000"/>
          <w:sz w:val="28"/>
          <w:szCs w:val="28"/>
          <w:lang w:val="en-US" w:eastAsia="zh-CN"/>
        </w:rPr>
      </w:pPr>
      <w:r>
        <w:rPr>
          <w:rFonts w:hint="default" w:ascii="宋体" w:hAnsi="宋体" w:eastAsia="宋体" w:cs="宋体"/>
          <w:b/>
          <w:bCs/>
          <w:color w:val="auto"/>
          <w:kern w:val="0"/>
          <w:sz w:val="28"/>
          <w:szCs w:val="28"/>
          <w:lang w:val="en-US" w:eastAsia="zh-CN" w:bidi="ar"/>
        </w:rPr>
        <w:t>①</w:t>
      </w:r>
      <w:r>
        <w:rPr>
          <w:rFonts w:hint="default" w:ascii="宋体" w:hAnsi="宋体" w:eastAsia="宋体" w:cs="宋体"/>
          <w:b/>
          <w:bCs/>
          <w:color w:val="000000"/>
          <w:sz w:val="28"/>
          <w:szCs w:val="28"/>
          <w:lang w:val="en-US" w:eastAsia="zh-CN"/>
        </w:rPr>
        <w:t>全过程质量监控机制</w:t>
      </w:r>
      <w:r>
        <w:rPr>
          <w:rFonts w:hint="eastAsia" w:ascii="宋体" w:hAnsi="宋体" w:eastAsia="宋体" w:cs="宋体"/>
          <w:b/>
          <w:bCs/>
          <w:color w:val="000000"/>
          <w:sz w:val="28"/>
          <w:szCs w:val="28"/>
          <w:lang w:val="en-US" w:eastAsia="zh-CN"/>
        </w:rPr>
        <w:t>。</w:t>
      </w:r>
      <w:r>
        <w:rPr>
          <w:rFonts w:hint="eastAsia" w:ascii="宋体" w:hAnsi="宋体" w:eastAsia="宋体" w:cs="宋体"/>
          <w:color w:val="000000"/>
          <w:sz w:val="28"/>
          <w:szCs w:val="28"/>
          <w:lang w:val="en-US" w:eastAsia="zh-CN"/>
        </w:rPr>
        <w:t>从</w:t>
      </w:r>
      <w:r>
        <w:rPr>
          <w:rFonts w:hint="default" w:ascii="宋体" w:hAnsi="宋体" w:eastAsia="宋体" w:cs="宋体"/>
          <w:color w:val="000000"/>
          <w:sz w:val="28"/>
          <w:szCs w:val="28"/>
          <w:lang w:val="en-US" w:eastAsia="zh-CN"/>
        </w:rPr>
        <w:t>招生选拔</w:t>
      </w:r>
      <w:r>
        <w:rPr>
          <w:rFonts w:hint="eastAsia" w:ascii="宋体" w:hAnsi="宋体" w:eastAsia="宋体" w:cs="宋体"/>
          <w:color w:val="000000"/>
          <w:sz w:val="28"/>
          <w:szCs w:val="28"/>
          <w:lang w:val="en-US" w:eastAsia="zh-CN"/>
        </w:rPr>
        <w:t>、课程教学、科研训练、学术道德等环节</w:t>
      </w:r>
      <w:r>
        <w:rPr>
          <w:rFonts w:hint="default" w:ascii="宋体" w:hAnsi="宋体" w:eastAsia="宋体" w:cs="宋体"/>
          <w:color w:val="000000"/>
          <w:sz w:val="28"/>
          <w:szCs w:val="28"/>
          <w:lang w:val="en-US" w:eastAsia="zh-CN"/>
        </w:rPr>
        <w:t>构建了全方位质量保障体系，实现了人才培养全过程的质量监控与持续改进</w:t>
      </w:r>
      <w:r>
        <w:rPr>
          <w:rFonts w:hint="eastAsia" w:ascii="宋体" w:hAnsi="宋体" w:eastAsia="宋体" w:cs="宋体"/>
          <w:color w:val="000000"/>
          <w:sz w:val="28"/>
          <w:szCs w:val="28"/>
          <w:lang w:val="en-US" w:eastAsia="zh-CN"/>
        </w:rPr>
        <w:t>。</w:t>
      </w:r>
      <w:r>
        <w:rPr>
          <w:rFonts w:hint="default" w:ascii="宋体" w:hAnsi="宋体" w:eastAsia="宋体" w:cs="宋体"/>
          <w:b/>
          <w:bCs/>
          <w:color w:val="000000"/>
          <w:kern w:val="0"/>
          <w:sz w:val="28"/>
          <w:szCs w:val="28"/>
          <w:lang w:val="en-US" w:eastAsia="zh-CN" w:bidi="ar"/>
        </w:rPr>
        <w:t>②</w:t>
      </w:r>
      <w:r>
        <w:rPr>
          <w:rFonts w:hint="eastAsia" w:ascii="宋体" w:hAnsi="宋体" w:eastAsia="宋体" w:cs="宋体"/>
          <w:b/>
          <w:bCs/>
          <w:color w:val="000000"/>
          <w:sz w:val="28"/>
          <w:szCs w:val="28"/>
          <w:lang w:val="en-US" w:eastAsia="zh-CN"/>
        </w:rPr>
        <w:t>全方面质量评价体系。</w:t>
      </w:r>
      <w:r>
        <w:rPr>
          <w:rFonts w:hint="eastAsia" w:ascii="宋体" w:hAnsi="宋体" w:eastAsia="宋体" w:cs="宋体"/>
          <w:color w:val="000000"/>
          <w:sz w:val="28"/>
          <w:szCs w:val="28"/>
          <w:lang w:val="en-US" w:eastAsia="zh-CN"/>
        </w:rPr>
        <w:t>以课程学习、思想政治、科研成果等进行全方面评价；以自我评价、导师评价、学校评价和第三方评价进行多维度评价。</w:t>
      </w:r>
      <w:r>
        <w:rPr>
          <w:rFonts w:hint="default" w:ascii="宋体" w:hAnsi="宋体" w:eastAsia="宋体" w:cs="宋体"/>
          <w:b/>
          <w:bCs/>
          <w:color w:val="000000"/>
          <w:kern w:val="0"/>
          <w:sz w:val="28"/>
          <w:szCs w:val="28"/>
          <w:lang w:val="en-US" w:eastAsia="zh-CN" w:bidi="ar"/>
        </w:rPr>
        <w:t>③</w:t>
      </w:r>
      <w:r>
        <w:rPr>
          <w:rFonts w:hint="eastAsia" w:ascii="宋体" w:hAnsi="宋体" w:eastAsia="宋体" w:cs="宋体"/>
          <w:b/>
          <w:bCs/>
          <w:color w:val="000000"/>
          <w:sz w:val="28"/>
          <w:szCs w:val="28"/>
          <w:lang w:val="en-US" w:eastAsia="zh-CN"/>
        </w:rPr>
        <w:t>设立学业预警制度。</w:t>
      </w:r>
      <w:r>
        <w:rPr>
          <w:rFonts w:hint="eastAsia" w:ascii="宋体" w:hAnsi="宋体" w:eastAsia="宋体" w:cs="宋体"/>
          <w:color w:val="000000"/>
          <w:sz w:val="28"/>
          <w:szCs w:val="28"/>
          <w:lang w:val="en-US" w:eastAsia="zh-CN"/>
        </w:rPr>
        <w:t>及时发现潜在的学业问题，并采取相应措施进行干预，以确保学生能够顺利完成学业。</w:t>
      </w:r>
    </w:p>
    <w:p w14:paraId="3CCABA55">
      <w:pPr>
        <w:spacing w:line="240" w:lineRule="auto"/>
        <w:ind w:firstLine="562" w:firstLineChars="200"/>
        <w:rPr>
          <w:rFonts w:hint="eastAsia" w:ascii="宋体" w:hAnsi="宋体" w:eastAsia="宋体" w:cs="宋体"/>
          <w:color w:val="000000"/>
          <w:sz w:val="28"/>
          <w:szCs w:val="28"/>
          <w:lang w:val="en-US" w:eastAsia="zh-CN"/>
        </w:rPr>
      </w:pPr>
      <w:r>
        <w:rPr>
          <w:rFonts w:hint="eastAsia" w:ascii="宋体" w:hAnsi="宋体" w:eastAsia="宋体" w:cs="宋体"/>
          <w:b/>
          <w:bCs/>
          <w:color w:val="000000"/>
          <w:kern w:val="2"/>
          <w:sz w:val="28"/>
          <w:szCs w:val="28"/>
          <w:lang w:val="en-US" w:eastAsia="zh-CN" w:bidi="ar-SA"/>
        </w:rPr>
        <w:t>（2）</w:t>
      </w:r>
      <w:r>
        <w:rPr>
          <w:rFonts w:hint="eastAsia" w:ascii="宋体" w:hAnsi="宋体" w:eastAsia="宋体" w:cs="宋体"/>
          <w:b/>
          <w:bCs/>
          <w:color w:val="000000"/>
          <w:sz w:val="28"/>
          <w:szCs w:val="28"/>
          <w:lang w:val="en-US" w:eastAsia="zh-CN"/>
        </w:rPr>
        <w:t>加强学位论文和学位授予管理</w:t>
      </w:r>
    </w:p>
    <w:p w14:paraId="7DBB977B">
      <w:pPr>
        <w:spacing w:line="240" w:lineRule="auto"/>
        <w:ind w:firstLine="560" w:firstLineChars="200"/>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lang w:val="en-US" w:eastAsia="zh-CN"/>
        </w:rPr>
        <w:t>学位点建立全过程原始记录审核归档制，覆盖培养、科研、论文发表至学位授予各环节，确保培养过程可追溯，并为学位审核提供可靠依据。学位论文送审实行“双盲”评审，且每篇论文必经三名专家认真评审。严格管理答辩环节，要求提交答辩安排并经学院审核，答辩过程公开透明，接受各方监督。</w:t>
      </w:r>
    </w:p>
    <w:p w14:paraId="65A2C3A5">
      <w:pPr>
        <w:spacing w:line="240" w:lineRule="auto"/>
        <w:ind w:firstLine="562" w:firstLineChars="200"/>
        <w:rPr>
          <w:rFonts w:hint="eastAsia" w:ascii="宋体" w:hAnsi="宋体" w:eastAsia="宋体" w:cs="宋体"/>
          <w:bCs w:val="0"/>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（3）</w:t>
      </w:r>
      <w:r>
        <w:rPr>
          <w:rFonts w:hint="eastAsia" w:ascii="宋体" w:hAnsi="宋体" w:eastAsia="宋体" w:cs="宋体"/>
          <w:b/>
          <w:bCs/>
          <w:color w:val="000000"/>
          <w:sz w:val="28"/>
          <w:szCs w:val="28"/>
          <w:lang w:val="en-US" w:eastAsia="zh-CN"/>
        </w:rPr>
        <w:t>强化指导教师质量管控责任</w:t>
      </w:r>
    </w:p>
    <w:p w14:paraId="4DE313C9">
      <w:pPr>
        <w:spacing w:line="240" w:lineRule="auto"/>
        <w:ind w:firstLine="562" w:firstLineChars="200"/>
        <w:rPr>
          <w:rFonts w:hint="eastAsia"/>
          <w:lang w:val="en-US" w:eastAsia="zh-CN"/>
        </w:rPr>
      </w:pPr>
      <w:r>
        <w:rPr>
          <w:rFonts w:hint="default" w:ascii="宋体" w:hAnsi="宋体" w:eastAsia="宋体" w:cs="宋体"/>
          <w:b/>
          <w:bCs/>
          <w:color w:val="auto"/>
          <w:kern w:val="0"/>
          <w:sz w:val="28"/>
          <w:szCs w:val="28"/>
          <w:lang w:val="en-US" w:eastAsia="zh-CN" w:bidi="ar"/>
        </w:rPr>
        <w:t>①</w:t>
      </w:r>
      <w:r>
        <w:rPr>
          <w:rFonts w:hint="eastAsia" w:ascii="宋体" w:hAnsi="宋体" w:eastAsia="宋体" w:cs="宋体"/>
          <w:b/>
          <w:bCs/>
          <w:color w:val="000000"/>
          <w:kern w:val="2"/>
          <w:sz w:val="28"/>
          <w:szCs w:val="28"/>
          <w:lang w:val="en-US" w:eastAsia="zh-CN" w:bidi="ar-SA"/>
        </w:rPr>
        <w:t>确立</w:t>
      </w:r>
      <w:r>
        <w:rPr>
          <w:rFonts w:hint="default" w:ascii="宋体" w:hAnsi="宋体" w:eastAsia="宋体" w:cs="宋体"/>
          <w:b/>
          <w:bCs/>
          <w:color w:val="000000"/>
          <w:kern w:val="2"/>
          <w:sz w:val="28"/>
          <w:szCs w:val="28"/>
          <w:lang w:val="en-US" w:eastAsia="zh-CN" w:bidi="ar-SA"/>
        </w:rPr>
        <w:t>导师责任落实机制</w:t>
      </w:r>
      <w:r>
        <w:rPr>
          <w:rFonts w:hint="eastAsia" w:ascii="宋体" w:hAnsi="宋体" w:eastAsia="宋体" w:cs="宋体"/>
          <w:b/>
          <w:bCs/>
          <w:color w:val="000000"/>
          <w:kern w:val="2"/>
          <w:sz w:val="28"/>
          <w:szCs w:val="28"/>
          <w:lang w:val="en-US" w:eastAsia="zh-CN" w:bidi="ar-SA"/>
        </w:rPr>
        <w:t>。</w:t>
      </w:r>
      <w:r>
        <w:rPr>
          <w:rFonts w:hint="eastAsia" w:ascii="宋体" w:hAnsi="宋体" w:eastAsia="宋体" w:cs="宋体"/>
          <w:bCs w:val="0"/>
          <w:color w:val="000000"/>
          <w:kern w:val="2"/>
          <w:sz w:val="28"/>
          <w:szCs w:val="28"/>
          <w:lang w:val="en-US" w:eastAsia="zh-CN" w:bidi="ar-SA"/>
        </w:rPr>
        <w:t>明确导师为研究生培养的第一责任人，</w:t>
      </w:r>
      <w:r>
        <w:rPr>
          <w:rFonts w:hint="default" w:ascii="宋体" w:hAnsi="宋体" w:eastAsia="宋体" w:cs="宋体"/>
          <w:bCs w:val="0"/>
          <w:color w:val="000000"/>
          <w:kern w:val="2"/>
          <w:sz w:val="28"/>
          <w:szCs w:val="28"/>
          <w:lang w:val="en-US" w:eastAsia="zh-CN" w:bidi="ar-SA"/>
        </w:rPr>
        <w:t>明确责任清单</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制定导师指导工作规范；签订导师责任书，强化责任意识。</w:t>
      </w:r>
      <w:r>
        <w:rPr>
          <w:rFonts w:hint="default" w:ascii="宋体" w:hAnsi="宋体" w:eastAsia="宋体" w:cs="宋体"/>
          <w:b/>
          <w:bCs/>
          <w:color w:val="000000"/>
          <w:kern w:val="0"/>
          <w:sz w:val="28"/>
          <w:szCs w:val="28"/>
          <w:lang w:val="en-US" w:eastAsia="zh-CN" w:bidi="ar"/>
        </w:rPr>
        <w:t>②</w:t>
      </w:r>
      <w:r>
        <w:rPr>
          <w:rFonts w:hint="default" w:ascii="宋体" w:hAnsi="宋体" w:eastAsia="宋体" w:cs="宋体"/>
          <w:b/>
          <w:bCs/>
          <w:color w:val="000000"/>
          <w:kern w:val="2"/>
          <w:sz w:val="28"/>
          <w:szCs w:val="28"/>
          <w:lang w:val="en-US" w:eastAsia="zh-CN" w:bidi="ar-SA"/>
        </w:rPr>
        <w:t>完善</w:t>
      </w:r>
      <w:r>
        <w:rPr>
          <w:rFonts w:hint="eastAsia" w:ascii="宋体" w:hAnsi="宋体" w:eastAsia="宋体" w:cs="宋体"/>
          <w:b/>
          <w:bCs/>
          <w:color w:val="000000"/>
          <w:kern w:val="2"/>
          <w:sz w:val="28"/>
          <w:szCs w:val="28"/>
          <w:lang w:val="en-US" w:eastAsia="zh-CN" w:bidi="ar-SA"/>
        </w:rPr>
        <w:t>质量管控</w:t>
      </w:r>
      <w:r>
        <w:rPr>
          <w:rFonts w:hint="default" w:ascii="宋体" w:hAnsi="宋体" w:eastAsia="宋体" w:cs="宋体"/>
          <w:b/>
          <w:bCs/>
          <w:color w:val="000000"/>
          <w:kern w:val="2"/>
          <w:sz w:val="28"/>
          <w:szCs w:val="28"/>
          <w:lang w:val="en-US" w:eastAsia="zh-CN" w:bidi="ar-SA"/>
        </w:rPr>
        <w:t>机制</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实行导师组联合指导制度，发挥团队优势；</w:t>
      </w:r>
      <w:r>
        <w:rPr>
          <w:rFonts w:hint="eastAsia" w:ascii="宋体" w:hAnsi="宋体" w:eastAsia="宋体" w:cs="宋体"/>
          <w:bCs w:val="0"/>
          <w:color w:val="000000"/>
          <w:kern w:val="2"/>
          <w:sz w:val="28"/>
          <w:szCs w:val="28"/>
          <w:lang w:val="en-US" w:eastAsia="zh-CN" w:bidi="ar-SA"/>
        </w:rPr>
        <w:t>鼓励</w:t>
      </w:r>
      <w:r>
        <w:rPr>
          <w:rFonts w:hint="default" w:ascii="宋体" w:hAnsi="宋体" w:eastAsia="宋体" w:cs="宋体"/>
          <w:bCs w:val="0"/>
          <w:color w:val="000000"/>
          <w:kern w:val="2"/>
          <w:sz w:val="28"/>
          <w:szCs w:val="28"/>
          <w:lang w:val="en-US" w:eastAsia="zh-CN" w:bidi="ar-SA"/>
        </w:rPr>
        <w:t>定期汇报，</w:t>
      </w:r>
      <w:r>
        <w:rPr>
          <w:rFonts w:hint="eastAsia" w:ascii="宋体" w:hAnsi="宋体" w:eastAsia="宋体" w:cs="宋体"/>
          <w:bCs w:val="0"/>
          <w:color w:val="000000"/>
          <w:kern w:val="2"/>
          <w:sz w:val="28"/>
          <w:szCs w:val="28"/>
          <w:lang w:val="en-US" w:eastAsia="zh-CN" w:bidi="ar-SA"/>
        </w:rPr>
        <w:t>检查研究生学习、科研进展</w:t>
      </w:r>
      <w:r>
        <w:rPr>
          <w:rFonts w:hint="default" w:ascii="宋体" w:hAnsi="宋体" w:eastAsia="宋体" w:cs="宋体"/>
          <w:bCs w:val="0"/>
          <w:color w:val="000000"/>
          <w:kern w:val="2"/>
          <w:sz w:val="28"/>
          <w:szCs w:val="28"/>
          <w:lang w:val="en-US" w:eastAsia="zh-CN" w:bidi="ar-SA"/>
        </w:rPr>
        <w:t>；</w:t>
      </w:r>
      <w:r>
        <w:rPr>
          <w:rFonts w:hint="eastAsia" w:ascii="宋体" w:hAnsi="宋体" w:eastAsia="宋体" w:cs="宋体"/>
          <w:bCs w:val="0"/>
          <w:color w:val="000000"/>
          <w:kern w:val="2"/>
          <w:sz w:val="28"/>
          <w:szCs w:val="28"/>
          <w:lang w:val="en-US" w:eastAsia="zh-CN" w:bidi="ar-SA"/>
        </w:rPr>
        <w:t>建立中期考核，</w:t>
      </w:r>
      <w:r>
        <w:rPr>
          <w:rFonts w:hint="default" w:ascii="宋体" w:hAnsi="宋体" w:eastAsia="宋体" w:cs="宋体"/>
          <w:bCs w:val="0"/>
          <w:color w:val="000000"/>
          <w:kern w:val="2"/>
          <w:sz w:val="28"/>
          <w:szCs w:val="28"/>
          <w:lang w:val="en-US" w:eastAsia="zh-CN" w:bidi="ar-SA"/>
        </w:rPr>
        <w:t>确保指导质量。</w:t>
      </w:r>
    </w:p>
    <w:p w14:paraId="6679E678">
      <w:pPr>
        <w:spacing w:line="240" w:lineRule="auto"/>
        <w:ind w:firstLine="562" w:firstLineChars="200"/>
        <w:rPr>
          <w:rFonts w:hint="eastAsia"/>
          <w:lang w:val="en-US" w:eastAsia="zh-CN"/>
        </w:rPr>
      </w:pPr>
      <w:r>
        <w:rPr>
          <w:rFonts w:hint="eastAsia" w:ascii="宋体" w:hAnsi="宋体" w:eastAsia="宋体" w:cs="宋体"/>
          <w:b/>
          <w:bCs/>
          <w:color w:val="000000"/>
          <w:kern w:val="2"/>
          <w:sz w:val="28"/>
          <w:szCs w:val="28"/>
          <w:lang w:val="en-US" w:eastAsia="zh-CN" w:bidi="ar-SA"/>
        </w:rPr>
        <w:t>5.2.7</w:t>
      </w:r>
      <w:r>
        <w:rPr>
          <w:rFonts w:hint="eastAsia" w:ascii="宋体" w:hAnsi="宋体" w:eastAsia="宋体" w:cs="宋体"/>
          <w:b/>
          <w:bCs/>
          <w:color w:val="000000"/>
          <w:sz w:val="28"/>
          <w:szCs w:val="28"/>
        </w:rPr>
        <w:t>学风建设</w:t>
      </w:r>
    </w:p>
    <w:p w14:paraId="7CBFC8D4">
      <w:pPr>
        <w:keepNext w:val="0"/>
        <w:keepLines w:val="0"/>
        <w:widowControl/>
        <w:suppressLineNumbers w:val="0"/>
        <w:spacing w:line="240" w:lineRule="auto"/>
        <w:ind w:firstLine="562" w:firstLineChars="200"/>
        <w:jc w:val="left"/>
        <w:rPr>
          <w:rFonts w:hint="eastAsia"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（1）</w:t>
      </w:r>
      <w:r>
        <w:rPr>
          <w:rFonts w:hint="default" w:ascii="宋体" w:hAnsi="宋体" w:eastAsia="宋体" w:cs="宋体"/>
          <w:b/>
          <w:bCs/>
          <w:color w:val="000000"/>
          <w:kern w:val="2"/>
          <w:sz w:val="28"/>
          <w:szCs w:val="28"/>
          <w:lang w:val="en-US" w:eastAsia="zh-CN" w:bidi="ar-SA"/>
        </w:rPr>
        <w:t>学术诚信教育体系</w:t>
      </w:r>
    </w:p>
    <w:p w14:paraId="65528C85">
      <w:pPr>
        <w:keepNext w:val="0"/>
        <w:keepLines w:val="0"/>
        <w:widowControl/>
        <w:suppressLineNumbers w:val="0"/>
        <w:spacing w:line="240" w:lineRule="auto"/>
        <w:ind w:firstLine="562" w:firstLineChars="200"/>
        <w:jc w:val="left"/>
        <w:rPr>
          <w:rFonts w:hint="default" w:ascii="宋体" w:hAnsi="宋体" w:eastAsia="宋体" w:cs="宋体"/>
          <w:bCs w:val="0"/>
          <w:color w:val="000000"/>
          <w:kern w:val="2"/>
          <w:sz w:val="28"/>
          <w:szCs w:val="28"/>
          <w:lang w:val="en-US" w:eastAsia="zh-CN" w:bidi="ar-SA"/>
        </w:rPr>
      </w:pPr>
      <w:r>
        <w:rPr>
          <w:rFonts w:hint="default" w:ascii="宋体" w:hAnsi="宋体" w:eastAsia="宋体" w:cs="宋体"/>
          <w:b/>
          <w:bCs/>
          <w:color w:val="auto"/>
          <w:kern w:val="0"/>
          <w:sz w:val="28"/>
          <w:szCs w:val="28"/>
          <w:lang w:val="en-US" w:eastAsia="zh-CN" w:bidi="ar"/>
        </w:rPr>
        <w:t>①</w:t>
      </w:r>
      <w:r>
        <w:rPr>
          <w:rFonts w:hint="default" w:ascii="宋体" w:hAnsi="宋体" w:eastAsia="宋体" w:cs="宋体"/>
          <w:b/>
          <w:bCs/>
          <w:color w:val="000000"/>
          <w:kern w:val="2"/>
          <w:sz w:val="28"/>
          <w:szCs w:val="28"/>
          <w:lang w:val="en-US" w:eastAsia="zh-CN" w:bidi="ar-SA"/>
        </w:rPr>
        <w:t>教育内容系统化</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将学术诚信、学术规范、伦理道德</w:t>
      </w:r>
      <w:r>
        <w:rPr>
          <w:rFonts w:hint="eastAsia" w:ascii="宋体" w:hAnsi="宋体" w:eastAsia="宋体" w:cs="宋体"/>
          <w:bCs w:val="0"/>
          <w:color w:val="000000"/>
          <w:kern w:val="2"/>
          <w:sz w:val="28"/>
          <w:szCs w:val="28"/>
          <w:lang w:val="en-US" w:eastAsia="zh-CN" w:bidi="ar-SA"/>
        </w:rPr>
        <w:t>等</w:t>
      </w:r>
      <w:r>
        <w:rPr>
          <w:rFonts w:hint="default" w:ascii="宋体" w:hAnsi="宋体" w:eastAsia="宋体" w:cs="宋体"/>
          <w:bCs w:val="0"/>
          <w:color w:val="000000"/>
          <w:kern w:val="2"/>
          <w:sz w:val="28"/>
          <w:szCs w:val="28"/>
          <w:lang w:val="en-US" w:eastAsia="zh-CN" w:bidi="ar-SA"/>
        </w:rPr>
        <w:t>纳入必修课程体系；开设</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科研诚信与学术规范</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专题课程，强化底线意识。</w:t>
      </w:r>
      <w:r>
        <w:rPr>
          <w:rFonts w:hint="default" w:ascii="宋体" w:hAnsi="宋体" w:eastAsia="宋体" w:cs="宋体"/>
          <w:b/>
          <w:bCs/>
          <w:color w:val="000000"/>
          <w:kern w:val="0"/>
          <w:sz w:val="28"/>
          <w:szCs w:val="28"/>
          <w:lang w:val="en-US" w:eastAsia="zh-CN" w:bidi="ar"/>
        </w:rPr>
        <w:t>②</w:t>
      </w:r>
      <w:r>
        <w:rPr>
          <w:rFonts w:hint="default" w:ascii="宋体" w:hAnsi="宋体" w:eastAsia="宋体" w:cs="宋体"/>
          <w:b/>
          <w:bCs/>
          <w:color w:val="000000"/>
          <w:kern w:val="2"/>
          <w:sz w:val="28"/>
          <w:szCs w:val="28"/>
          <w:lang w:val="en-US" w:eastAsia="zh-CN" w:bidi="ar-SA"/>
        </w:rPr>
        <w:t>教育形式多样化</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新生入学签署学术诚信承诺书</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定期举办学术道德专题讲座，组织学术规范案例研讨，开展学风专题教育</w:t>
      </w:r>
      <w:r>
        <w:rPr>
          <w:rFonts w:hint="eastAsia" w:ascii="宋体" w:hAnsi="宋体" w:eastAsia="宋体" w:cs="宋体"/>
          <w:bCs w:val="0"/>
          <w:color w:val="000000"/>
          <w:kern w:val="2"/>
          <w:sz w:val="28"/>
          <w:szCs w:val="28"/>
          <w:lang w:val="en-US" w:eastAsia="zh-CN" w:bidi="ar-SA"/>
        </w:rPr>
        <w:t>。</w:t>
      </w:r>
    </w:p>
    <w:p w14:paraId="15D21F1E">
      <w:pPr>
        <w:keepNext w:val="0"/>
        <w:keepLines w:val="0"/>
        <w:widowControl/>
        <w:suppressLineNumbers w:val="0"/>
        <w:spacing w:line="240" w:lineRule="auto"/>
        <w:ind w:firstLine="562" w:firstLineChars="200"/>
        <w:jc w:val="left"/>
        <w:rPr>
          <w:rFonts w:hint="default" w:ascii="宋体" w:hAnsi="宋体" w:eastAsia="宋体" w:cs="宋体"/>
          <w:b/>
          <w:bCs/>
          <w:color w:val="000000"/>
          <w:kern w:val="2"/>
          <w:sz w:val="28"/>
          <w:szCs w:val="28"/>
          <w:lang w:val="en-US" w:eastAsia="zh-CN" w:bidi="ar-SA"/>
        </w:rPr>
      </w:pPr>
      <w:r>
        <w:rPr>
          <w:rFonts w:hint="eastAsia" w:ascii="宋体" w:hAnsi="宋体" w:eastAsia="宋体" w:cs="宋体"/>
          <w:b/>
          <w:bCs/>
          <w:color w:val="000000"/>
          <w:kern w:val="2"/>
          <w:sz w:val="28"/>
          <w:szCs w:val="28"/>
          <w:lang w:val="en-US" w:eastAsia="zh-CN" w:bidi="ar-SA"/>
        </w:rPr>
        <w:t>（2）</w:t>
      </w:r>
      <w:r>
        <w:rPr>
          <w:rFonts w:hint="default" w:ascii="宋体" w:hAnsi="宋体" w:eastAsia="宋体" w:cs="宋体"/>
          <w:b/>
          <w:bCs/>
          <w:color w:val="000000"/>
          <w:kern w:val="2"/>
          <w:sz w:val="28"/>
          <w:szCs w:val="28"/>
          <w:lang w:val="en-US" w:eastAsia="zh-CN" w:bidi="ar-SA"/>
        </w:rPr>
        <w:t>学术不端预防机制</w:t>
      </w:r>
    </w:p>
    <w:p w14:paraId="09CEF666">
      <w:pPr>
        <w:keepNext w:val="0"/>
        <w:keepLines w:val="0"/>
        <w:widowControl/>
        <w:suppressLineNumbers w:val="0"/>
        <w:spacing w:line="240" w:lineRule="auto"/>
        <w:ind w:firstLine="562" w:firstLineChars="200"/>
        <w:jc w:val="left"/>
        <w:rPr>
          <w:rFonts w:hint="default"/>
          <w:lang w:val="en-US" w:eastAsia="zh-CN"/>
        </w:rPr>
      </w:pPr>
      <w:r>
        <w:rPr>
          <w:rFonts w:hint="default" w:ascii="宋体" w:hAnsi="宋体" w:eastAsia="宋体" w:cs="宋体"/>
          <w:b/>
          <w:bCs/>
          <w:color w:val="auto"/>
          <w:kern w:val="0"/>
          <w:sz w:val="28"/>
          <w:szCs w:val="28"/>
          <w:lang w:val="en-US" w:eastAsia="zh-CN" w:bidi="ar"/>
        </w:rPr>
        <w:t>①</w:t>
      </w:r>
      <w:r>
        <w:rPr>
          <w:rFonts w:hint="default" w:ascii="宋体" w:hAnsi="宋体" w:eastAsia="宋体" w:cs="宋体"/>
          <w:b/>
          <w:bCs/>
          <w:color w:val="000000"/>
          <w:kern w:val="2"/>
          <w:sz w:val="28"/>
          <w:szCs w:val="28"/>
          <w:lang w:val="en-US" w:eastAsia="zh-CN" w:bidi="ar-SA"/>
        </w:rPr>
        <w:t>制度保障体系</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严格执行《高等学校预防与处理学术不端行为办法》</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实行学位论文全过程查重制度</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建立学术不端行为查处规程。</w:t>
      </w:r>
      <w:r>
        <w:rPr>
          <w:rFonts w:hint="default" w:ascii="宋体" w:hAnsi="宋体" w:eastAsia="宋体" w:cs="宋体"/>
          <w:b/>
          <w:bCs/>
          <w:color w:val="000000"/>
          <w:kern w:val="0"/>
          <w:sz w:val="28"/>
          <w:szCs w:val="28"/>
          <w:lang w:val="en-US" w:eastAsia="zh-CN" w:bidi="ar"/>
        </w:rPr>
        <w:t>②</w:t>
      </w:r>
      <w:r>
        <w:rPr>
          <w:rFonts w:hint="default" w:ascii="宋体" w:hAnsi="宋体" w:eastAsia="宋体" w:cs="宋体"/>
          <w:b/>
          <w:bCs/>
          <w:color w:val="000000"/>
          <w:kern w:val="2"/>
          <w:sz w:val="28"/>
          <w:szCs w:val="28"/>
          <w:lang w:val="en-US" w:eastAsia="zh-CN" w:bidi="ar-SA"/>
        </w:rPr>
        <w:t>监督预警机制</w:t>
      </w:r>
      <w:r>
        <w:rPr>
          <w:rFonts w:hint="eastAsia" w:ascii="宋体" w:hAnsi="宋体" w:eastAsia="宋体" w:cs="宋体"/>
          <w:b/>
          <w:bCs/>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对学术不端行为实行</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零容忍</w:t>
      </w:r>
      <w:r>
        <w:rPr>
          <w:rFonts w:hint="eastAsia" w:ascii="宋体" w:hAnsi="宋体" w:eastAsia="宋体" w:cs="宋体"/>
          <w:bCs w:val="0"/>
          <w:color w:val="000000"/>
          <w:kern w:val="2"/>
          <w:sz w:val="28"/>
          <w:szCs w:val="28"/>
          <w:lang w:val="en-US" w:eastAsia="zh-CN" w:bidi="ar-SA"/>
        </w:rPr>
        <w:t>”，</w:t>
      </w:r>
      <w:r>
        <w:rPr>
          <w:rFonts w:hint="default" w:ascii="宋体" w:hAnsi="宋体" w:eastAsia="宋体" w:cs="宋体"/>
          <w:bCs w:val="0"/>
          <w:color w:val="000000"/>
          <w:kern w:val="2"/>
          <w:sz w:val="28"/>
          <w:szCs w:val="28"/>
          <w:lang w:val="en-US" w:eastAsia="zh-CN" w:bidi="ar-SA"/>
        </w:rPr>
        <w:t>建立学术不端行为档案库。</w:t>
      </w:r>
      <w:r>
        <w:rPr>
          <w:rFonts w:hint="eastAsia" w:ascii="宋体" w:hAnsi="宋体" w:eastAsia="宋体" w:cs="宋体"/>
          <w:bCs w:val="0"/>
          <w:color w:val="000000"/>
          <w:kern w:val="2"/>
          <w:sz w:val="28"/>
          <w:szCs w:val="28"/>
          <w:lang w:val="en-US" w:eastAsia="zh-CN" w:bidi="ar-SA"/>
        </w:rPr>
        <w:t>2020年开展科学道德和学术规范教育</w:t>
      </w:r>
      <w:r>
        <w:rPr>
          <w:rFonts w:hint="eastAsia" w:ascii="宋体" w:hAnsi="宋体" w:eastAsia="宋体" w:cs="宋体"/>
          <w:bCs w:val="0"/>
          <w:color w:val="auto"/>
          <w:kern w:val="2"/>
          <w:sz w:val="28"/>
          <w:szCs w:val="28"/>
          <w:lang w:val="en-US" w:eastAsia="zh-CN" w:bidi="ar-SA"/>
        </w:rPr>
        <w:t>培训10余次，共参与学生和导师3000人次，保证了</w:t>
      </w:r>
      <w:r>
        <w:rPr>
          <w:rFonts w:hint="eastAsia" w:ascii="宋体" w:hAnsi="宋体" w:eastAsia="宋体" w:cs="宋体"/>
          <w:bCs w:val="0"/>
          <w:color w:val="000000"/>
          <w:kern w:val="2"/>
          <w:sz w:val="28"/>
          <w:szCs w:val="28"/>
          <w:lang w:val="en-US" w:eastAsia="zh-CN" w:bidi="ar-SA"/>
        </w:rPr>
        <w:t>学位点学术不端零发生。</w:t>
      </w:r>
    </w:p>
    <w:p w14:paraId="2F454624">
      <w:pPr>
        <w:spacing w:line="240" w:lineRule="auto"/>
        <w:ind w:firstLine="562" w:firstLineChars="200"/>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5.2.8管理服务</w:t>
      </w:r>
    </w:p>
    <w:p w14:paraId="038B8B1B">
      <w:pPr>
        <w:spacing w:line="240" w:lineRule="auto"/>
        <w:ind w:firstLine="562" w:firstLineChars="200"/>
        <w:rPr>
          <w:rFonts w:hint="default" w:ascii="宋体" w:hAnsi="宋体" w:eastAsia="宋体" w:cs="宋体"/>
          <w:b/>
          <w:bCs/>
          <w:color w:val="auto"/>
          <w:sz w:val="28"/>
          <w:szCs w:val="28"/>
          <w:lang w:val="en-US"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1</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专职管理人员配备</w:t>
      </w:r>
    </w:p>
    <w:p w14:paraId="6BCDCFF9">
      <w:pPr>
        <w:spacing w:line="240" w:lineRule="auto"/>
        <w:ind w:firstLine="560" w:firstLineChars="200"/>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rPr>
        <w:t>遵循</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党委领导</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党政结合</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教育与管理并重</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统一协调</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齐抓共管</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rPr>
        <w:t>三原则，建立和完善研究生</w:t>
      </w:r>
      <w:r>
        <w:rPr>
          <w:rFonts w:hint="eastAsia" w:ascii="宋体" w:hAnsi="宋体" w:eastAsia="宋体" w:cs="宋体"/>
          <w:color w:val="auto"/>
          <w:sz w:val="28"/>
          <w:szCs w:val="28"/>
          <w:lang w:val="en-US" w:eastAsia="zh-CN"/>
        </w:rPr>
        <w:t>专职管理人员队伍</w:t>
      </w:r>
      <w:r>
        <w:rPr>
          <w:rFonts w:hint="eastAsia" w:ascii="宋体" w:hAnsi="宋体" w:eastAsia="宋体" w:cs="宋体"/>
          <w:color w:val="auto"/>
          <w:sz w:val="28"/>
          <w:szCs w:val="28"/>
        </w:rPr>
        <w:t>。研究生在</w:t>
      </w:r>
      <w:r>
        <w:rPr>
          <w:rFonts w:hint="eastAsia" w:ascii="宋体" w:hAnsi="宋体" w:eastAsia="宋体" w:cs="宋体"/>
          <w:color w:val="auto"/>
          <w:sz w:val="28"/>
          <w:szCs w:val="28"/>
          <w:lang w:val="en-US" w:eastAsia="zh-CN"/>
        </w:rPr>
        <w:t>3</w:t>
      </w:r>
      <w:r>
        <w:rPr>
          <w:rFonts w:hint="eastAsia" w:ascii="宋体" w:hAnsi="宋体" w:eastAsia="宋体" w:cs="宋体"/>
          <w:color w:val="auto"/>
          <w:sz w:val="28"/>
          <w:szCs w:val="28"/>
        </w:rPr>
        <w:t>个院部管理，</w:t>
      </w:r>
      <w:r>
        <w:rPr>
          <w:rFonts w:hint="eastAsia" w:ascii="宋体" w:hAnsi="宋体" w:eastAsia="宋体" w:cs="宋体"/>
          <w:color w:val="auto"/>
          <w:sz w:val="28"/>
          <w:szCs w:val="28"/>
          <w:lang w:val="en-US" w:eastAsia="zh-CN"/>
        </w:rPr>
        <w:t>各</w:t>
      </w:r>
      <w:r>
        <w:rPr>
          <w:rFonts w:hint="eastAsia" w:ascii="宋体" w:hAnsi="宋体" w:eastAsia="宋体" w:cs="宋体"/>
          <w:color w:val="auto"/>
          <w:sz w:val="28"/>
          <w:szCs w:val="28"/>
        </w:rPr>
        <w:t>院部</w:t>
      </w:r>
      <w:r>
        <w:rPr>
          <w:rFonts w:hint="eastAsia" w:ascii="宋体" w:hAnsi="宋体" w:eastAsia="宋体" w:cs="宋体"/>
          <w:color w:val="auto"/>
          <w:sz w:val="28"/>
          <w:szCs w:val="28"/>
          <w:lang w:val="en-US" w:eastAsia="zh-CN"/>
        </w:rPr>
        <w:t>设置</w:t>
      </w:r>
      <w:r>
        <w:rPr>
          <w:rFonts w:hint="eastAsia" w:ascii="宋体" w:hAnsi="宋体" w:eastAsia="宋体" w:cs="宋体"/>
          <w:color w:val="auto"/>
          <w:sz w:val="28"/>
          <w:szCs w:val="28"/>
        </w:rPr>
        <w:t>负责研究生工作的副书记和副院长</w:t>
      </w:r>
      <w:r>
        <w:rPr>
          <w:rFonts w:hint="eastAsia" w:ascii="宋体" w:hAnsi="宋体" w:eastAsia="宋体" w:cs="宋体"/>
          <w:color w:val="auto"/>
          <w:sz w:val="28"/>
          <w:szCs w:val="28"/>
          <w:lang w:eastAsia="zh-CN"/>
        </w:rPr>
        <w:t>，</w:t>
      </w:r>
      <w:r>
        <w:rPr>
          <w:rFonts w:hint="eastAsia" w:ascii="宋体" w:hAnsi="宋体" w:eastAsia="宋体" w:cs="宋体"/>
          <w:color w:val="auto"/>
          <w:sz w:val="28"/>
          <w:szCs w:val="28"/>
          <w:lang w:val="en-US" w:eastAsia="zh-CN"/>
        </w:rPr>
        <w:t>以及专职研究生管理人员，能够及时解决学生问题</w:t>
      </w:r>
      <w:r>
        <w:rPr>
          <w:rFonts w:hint="eastAsia" w:ascii="宋体" w:hAnsi="宋体" w:eastAsia="宋体" w:cs="宋体"/>
          <w:color w:val="auto"/>
          <w:sz w:val="28"/>
          <w:szCs w:val="28"/>
        </w:rPr>
        <w:t>。</w:t>
      </w:r>
      <w:r>
        <w:rPr>
          <w:rFonts w:hint="eastAsia" w:ascii="宋体" w:hAnsi="宋体" w:eastAsia="宋体" w:cs="宋体"/>
          <w:color w:val="auto"/>
          <w:sz w:val="28"/>
          <w:szCs w:val="28"/>
          <w:lang w:val="en-US" w:eastAsia="zh-CN"/>
        </w:rPr>
        <w:t>2020</w:t>
      </w:r>
      <w:r>
        <w:rPr>
          <w:rFonts w:hint="eastAsia" w:ascii="宋体" w:hAnsi="宋体" w:eastAsia="宋体" w:cs="宋体"/>
          <w:color w:val="auto"/>
          <w:sz w:val="28"/>
          <w:szCs w:val="28"/>
        </w:rPr>
        <w:t>年未出现任何教学管理及其他责任事故。</w:t>
      </w:r>
    </w:p>
    <w:p w14:paraId="4C77D518">
      <w:pPr>
        <w:spacing w:line="240" w:lineRule="auto"/>
        <w:ind w:firstLine="562" w:firstLineChars="200"/>
        <w:rPr>
          <w:rFonts w:hint="eastAsia" w:ascii="宋体" w:hAnsi="宋体" w:eastAsia="宋体" w:cs="宋体"/>
          <w:b w:val="0"/>
          <w:bCs w:val="0"/>
          <w:color w:val="auto"/>
          <w:sz w:val="28"/>
          <w:szCs w:val="28"/>
          <w:lang w:val="en-US" w:eastAsia="zh-CN"/>
        </w:rPr>
      </w:pP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2</w:t>
      </w:r>
      <w:r>
        <w:rPr>
          <w:rFonts w:hint="eastAsia" w:ascii="宋体" w:hAnsi="宋体" w:eastAsia="宋体" w:cs="宋体"/>
          <w:b/>
          <w:bCs/>
          <w:color w:val="auto"/>
          <w:sz w:val="28"/>
          <w:szCs w:val="28"/>
          <w:lang w:eastAsia="zh-CN"/>
        </w:rPr>
        <w:t>）</w:t>
      </w:r>
      <w:r>
        <w:rPr>
          <w:rFonts w:hint="eastAsia" w:ascii="宋体" w:hAnsi="宋体" w:eastAsia="宋体" w:cs="宋体"/>
          <w:b/>
          <w:bCs/>
          <w:color w:val="auto"/>
          <w:sz w:val="28"/>
          <w:szCs w:val="28"/>
          <w:lang w:val="en-US" w:eastAsia="zh-CN"/>
        </w:rPr>
        <w:t>研究生权益保障制度完善</w:t>
      </w:r>
    </w:p>
    <w:p w14:paraId="7F954F8A">
      <w:pPr>
        <w:pageBreakBefore w:val="0"/>
        <w:kinsoku/>
        <w:wordWrap/>
        <w:overflowPunct/>
        <w:topLinePunct w:val="0"/>
        <w:bidi w:val="0"/>
        <w:snapToGrid/>
        <w:spacing w:line="240" w:lineRule="auto"/>
        <w:ind w:firstLine="562" w:firstLineChars="200"/>
        <w:textAlignment w:val="auto"/>
        <w:rPr>
          <w:rFonts w:hint="eastAsia"/>
          <w:lang w:val="en-US" w:eastAsia="zh-CN"/>
        </w:rPr>
      </w:pPr>
      <w:r>
        <w:rPr>
          <w:rFonts w:hint="default" w:ascii="宋体" w:hAnsi="宋体" w:eastAsia="宋体" w:cs="宋体"/>
          <w:b/>
          <w:bCs/>
          <w:sz w:val="28"/>
          <w:szCs w:val="28"/>
          <w:lang w:eastAsia="zh-CN"/>
        </w:rPr>
        <w:t>①</w:t>
      </w:r>
      <w:r>
        <w:rPr>
          <w:rFonts w:hint="default" w:ascii="宋体" w:hAnsi="宋体" w:eastAsia="宋体" w:cs="宋体"/>
          <w:b/>
          <w:bCs/>
          <w:sz w:val="28"/>
          <w:szCs w:val="28"/>
          <w:lang w:val="en-US" w:eastAsia="zh-CN"/>
        </w:rPr>
        <w:t>制度保障体系</w:t>
      </w:r>
      <w:r>
        <w:rPr>
          <w:rFonts w:hint="eastAsia" w:ascii="宋体" w:hAnsi="宋体" w:eastAsia="宋体" w:cs="宋体"/>
          <w:b/>
          <w:bCs/>
          <w:sz w:val="28"/>
          <w:szCs w:val="28"/>
          <w:lang w:val="en-US" w:eastAsia="zh-CN"/>
        </w:rPr>
        <w:t>。</w:t>
      </w:r>
      <w:r>
        <w:rPr>
          <w:rFonts w:hint="eastAsia" w:ascii="宋体" w:hAnsi="宋体" w:eastAsia="宋体" w:cs="宋体"/>
          <w:sz w:val="28"/>
          <w:szCs w:val="28"/>
          <w:lang w:val="en-US" w:eastAsia="zh-CN"/>
        </w:rPr>
        <w:t>严格执行大学制定</w:t>
      </w:r>
      <w:r>
        <w:rPr>
          <w:rFonts w:hint="default" w:ascii="宋体" w:hAnsi="宋体" w:eastAsia="宋体" w:cs="宋体"/>
          <w:sz w:val="28"/>
          <w:szCs w:val="28"/>
          <w:lang w:val="en-US" w:eastAsia="zh-CN"/>
        </w:rPr>
        <w:t>的</w:t>
      </w:r>
      <w:r>
        <w:rPr>
          <w:rFonts w:hint="eastAsia" w:ascii="宋体" w:hAnsi="宋体" w:eastAsia="宋体" w:cs="宋体"/>
          <w:sz w:val="28"/>
          <w:szCs w:val="28"/>
          <w:lang w:val="en-US" w:eastAsia="zh-CN"/>
        </w:rPr>
        <w:t>有关研究生培养和</w:t>
      </w:r>
      <w:r>
        <w:rPr>
          <w:rFonts w:hint="default" w:ascii="宋体" w:hAnsi="宋体" w:eastAsia="宋体" w:cs="宋体"/>
          <w:sz w:val="28"/>
          <w:szCs w:val="28"/>
          <w:lang w:val="en-US" w:eastAsia="zh-CN"/>
        </w:rPr>
        <w:t>质量管理</w:t>
      </w:r>
      <w:r>
        <w:rPr>
          <w:rFonts w:hint="eastAsia" w:ascii="宋体" w:hAnsi="宋体" w:eastAsia="宋体" w:cs="宋体"/>
          <w:sz w:val="28"/>
          <w:szCs w:val="28"/>
          <w:lang w:val="en-US" w:eastAsia="zh-CN"/>
        </w:rPr>
        <w:t>多项</w:t>
      </w:r>
      <w:r>
        <w:rPr>
          <w:rFonts w:hint="default" w:ascii="宋体" w:hAnsi="宋体" w:eastAsia="宋体" w:cs="宋体"/>
          <w:sz w:val="28"/>
          <w:szCs w:val="28"/>
          <w:lang w:val="en-US" w:eastAsia="zh-CN"/>
        </w:rPr>
        <w:t>制度文件</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建立质量信息反馈与持续改进机制</w:t>
      </w:r>
      <w:r>
        <w:rPr>
          <w:rFonts w:hint="eastAsia" w:ascii="宋体" w:hAnsi="宋体" w:eastAsia="宋体" w:cs="宋体"/>
          <w:sz w:val="28"/>
          <w:szCs w:val="28"/>
          <w:lang w:val="en-US" w:eastAsia="zh-CN"/>
        </w:rPr>
        <w:t>；</w:t>
      </w:r>
      <w:r>
        <w:rPr>
          <w:rFonts w:hint="default" w:ascii="宋体" w:hAnsi="宋体" w:eastAsia="宋体" w:cs="宋体"/>
          <w:sz w:val="28"/>
          <w:szCs w:val="28"/>
          <w:lang w:val="en-US" w:eastAsia="zh-CN"/>
        </w:rPr>
        <w:t>实行质量事故责任追究制度</w:t>
      </w:r>
      <w:r>
        <w:rPr>
          <w:rFonts w:hint="eastAsia" w:ascii="宋体" w:hAnsi="宋体" w:eastAsia="宋体" w:cs="宋体"/>
          <w:sz w:val="28"/>
          <w:szCs w:val="28"/>
          <w:lang w:val="en-US" w:eastAsia="zh-CN"/>
        </w:rPr>
        <w:t>，保障了研究生的权利。</w:t>
      </w:r>
      <w:r>
        <w:rPr>
          <w:rFonts w:hint="default" w:ascii="宋体" w:hAnsi="宋体" w:eastAsia="宋体" w:cs="宋体"/>
          <w:b/>
          <w:bCs/>
          <w:sz w:val="28"/>
          <w:szCs w:val="28"/>
          <w:lang w:eastAsia="zh-CN"/>
        </w:rPr>
        <w:t>②</w:t>
      </w:r>
      <w:r>
        <w:rPr>
          <w:rFonts w:hint="default" w:ascii="宋体" w:hAnsi="宋体" w:eastAsia="宋体" w:cs="宋体"/>
          <w:b/>
          <w:bCs/>
          <w:sz w:val="28"/>
          <w:szCs w:val="28"/>
          <w:lang w:val="en-US" w:eastAsia="zh-CN"/>
        </w:rPr>
        <w:t>组织保障体系</w:t>
      </w:r>
      <w:r>
        <w:rPr>
          <w:rFonts w:hint="eastAsia" w:ascii="宋体" w:hAnsi="宋体" w:eastAsia="宋体" w:cs="宋体"/>
          <w:b/>
          <w:bCs/>
          <w:sz w:val="28"/>
          <w:szCs w:val="28"/>
          <w:lang w:val="en-US" w:eastAsia="zh-CN"/>
        </w:rPr>
        <w:t>。</w:t>
      </w:r>
      <w:r>
        <w:rPr>
          <w:rFonts w:hint="default" w:ascii="宋体" w:hAnsi="宋体" w:eastAsia="宋体" w:cs="宋体"/>
          <w:sz w:val="28"/>
          <w:szCs w:val="28"/>
          <w:lang w:val="en-US" w:eastAsia="zh-CN"/>
        </w:rPr>
        <w:t>成立学位评定分委员会，负责质量监督；设立质量监控办公室，开展日常检查；组建校外专家督导组，进行第三方评估。</w:t>
      </w:r>
      <w:r>
        <w:rPr>
          <w:rFonts w:hint="default" w:ascii="宋体" w:hAnsi="宋体" w:eastAsia="宋体" w:cs="宋体"/>
          <w:b/>
          <w:bCs/>
          <w:sz w:val="28"/>
          <w:szCs w:val="28"/>
          <w:lang w:val="en-US" w:eastAsia="zh-CN"/>
        </w:rPr>
        <w:t>③技术保障体系</w:t>
      </w:r>
      <w:r>
        <w:rPr>
          <w:rFonts w:hint="eastAsia" w:ascii="宋体" w:hAnsi="宋体" w:eastAsia="宋体" w:cs="宋体"/>
          <w:b/>
          <w:bCs/>
          <w:sz w:val="28"/>
          <w:szCs w:val="28"/>
          <w:lang w:val="en-US" w:eastAsia="zh-CN"/>
        </w:rPr>
        <w:t>。</w:t>
      </w:r>
      <w:r>
        <w:rPr>
          <w:rFonts w:hint="default" w:ascii="宋体" w:hAnsi="宋体" w:eastAsia="宋体" w:cs="宋体"/>
          <w:sz w:val="28"/>
          <w:szCs w:val="28"/>
          <w:lang w:val="en-US" w:eastAsia="zh-CN"/>
        </w:rPr>
        <w:t>建设研究生教育管理信息系统，实现全过程信息化管理；引入学位论文相似性检测系统，严把学术诚信关。</w:t>
      </w:r>
      <w:r>
        <w:rPr>
          <w:rFonts w:hint="eastAsia" w:ascii="宋体" w:hAnsi="宋体" w:eastAsia="宋体" w:cs="宋体"/>
          <w:b/>
          <w:bCs/>
          <w:sz w:val="28"/>
          <w:szCs w:val="28"/>
          <w:lang w:val="en-US" w:eastAsia="zh-CN"/>
        </w:rPr>
        <w:fldChar w:fldCharType="begin"/>
      </w:r>
      <w:r>
        <w:rPr>
          <w:rFonts w:hint="eastAsia" w:ascii="宋体" w:hAnsi="宋体" w:eastAsia="宋体" w:cs="宋体"/>
          <w:b/>
          <w:bCs/>
          <w:sz w:val="28"/>
          <w:szCs w:val="28"/>
          <w:lang w:val="en-US" w:eastAsia="zh-CN"/>
        </w:rPr>
        <w:instrText xml:space="preserve"> = 4 \* GB3 \* MERGEFORMAT </w:instrText>
      </w:r>
      <w:r>
        <w:rPr>
          <w:rFonts w:hint="eastAsia" w:ascii="宋体" w:hAnsi="宋体" w:eastAsia="宋体" w:cs="宋体"/>
          <w:b/>
          <w:bCs/>
          <w:sz w:val="28"/>
          <w:szCs w:val="28"/>
          <w:lang w:val="en-US" w:eastAsia="zh-CN"/>
        </w:rPr>
        <w:fldChar w:fldCharType="separate"/>
      </w:r>
      <w:r>
        <w:rPr>
          <w:rFonts w:hint="default" w:ascii="宋体" w:hAnsi="宋体" w:eastAsia="宋体" w:cs="宋体"/>
          <w:b/>
          <w:bCs/>
          <w:sz w:val="28"/>
          <w:szCs w:val="28"/>
          <w:lang w:val="en-US" w:eastAsia="zh-CN"/>
        </w:rPr>
        <w:t>④</w:t>
      </w:r>
      <w:r>
        <w:rPr>
          <w:rFonts w:hint="eastAsia" w:ascii="宋体" w:hAnsi="宋体" w:eastAsia="宋体" w:cs="宋体"/>
          <w:b/>
          <w:bCs/>
          <w:sz w:val="28"/>
          <w:szCs w:val="28"/>
          <w:lang w:val="en-US" w:eastAsia="zh-CN"/>
        </w:rPr>
        <w:fldChar w:fldCharType="end"/>
      </w:r>
      <w:r>
        <w:rPr>
          <w:rFonts w:hint="eastAsia" w:ascii="宋体" w:hAnsi="宋体" w:eastAsia="宋体" w:cs="宋体"/>
          <w:b/>
          <w:bCs/>
          <w:sz w:val="28"/>
          <w:szCs w:val="28"/>
          <w:lang w:val="en-US" w:eastAsia="zh-CN"/>
        </w:rPr>
        <w:t>心理健康保障：</w:t>
      </w:r>
      <w:r>
        <w:rPr>
          <w:rFonts w:hint="eastAsia" w:ascii="宋体" w:hAnsi="宋体" w:eastAsia="宋体" w:cs="宋体"/>
          <w:sz w:val="28"/>
          <w:szCs w:val="28"/>
          <w:lang w:eastAsia="zh-CN"/>
        </w:rPr>
        <w:t>进行入学心理测评，建立心理辅导站，注重学生心理健康，发现问题及时针对处理并长期追踪观察。</w:t>
      </w:r>
    </w:p>
    <w:p w14:paraId="756ECC68">
      <w:pPr>
        <w:spacing w:line="240" w:lineRule="auto"/>
        <w:ind w:firstLine="562" w:firstLineChars="200"/>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（3）在学研究生满意度</w:t>
      </w:r>
    </w:p>
    <w:p w14:paraId="38F3537E">
      <w:pPr>
        <w:spacing w:line="240" w:lineRule="auto"/>
        <w:ind w:firstLine="560" w:firstLineChars="200"/>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学位点对学术学位博士研究生进行满意度调查，大部分研究生对研究生教育培养、管理服务、所学专业和研究方向的总体评价满意，满意度分别</w:t>
      </w:r>
      <w:r>
        <w:rPr>
          <w:rFonts w:hint="eastAsia" w:ascii="宋体" w:hAnsi="宋体" w:eastAsia="宋体" w:cs="宋体"/>
          <w:color w:val="auto"/>
          <w:kern w:val="2"/>
          <w:sz w:val="28"/>
          <w:szCs w:val="28"/>
          <w:highlight w:val="none"/>
          <w:lang w:val="en-US" w:eastAsia="zh-CN" w:bidi="ar-SA"/>
        </w:rPr>
        <w:t>为</w:t>
      </w:r>
      <w:r>
        <w:rPr>
          <w:rFonts w:hint="eastAsia" w:ascii="宋体" w:hAnsi="宋体" w:eastAsia="宋体" w:cs="宋体"/>
          <w:bCs w:val="0"/>
          <w:color w:val="auto"/>
          <w:kern w:val="2"/>
          <w:sz w:val="28"/>
          <w:szCs w:val="28"/>
          <w:lang w:val="en-US" w:eastAsia="zh-CN" w:bidi="ar-SA"/>
        </w:rPr>
        <w:t>100%、98%、100%</w:t>
      </w:r>
      <w:r>
        <w:rPr>
          <w:rFonts w:hint="eastAsia" w:ascii="宋体" w:hAnsi="宋体" w:eastAsia="宋体" w:cs="宋体"/>
          <w:kern w:val="2"/>
          <w:sz w:val="28"/>
          <w:szCs w:val="28"/>
          <w:highlight w:val="none"/>
          <w:lang w:val="en-US" w:eastAsia="zh-CN" w:bidi="ar-SA"/>
        </w:rPr>
        <w:t>。</w:t>
      </w:r>
    </w:p>
    <w:p w14:paraId="25AE33A6">
      <w:pPr>
        <w:spacing w:line="240" w:lineRule="auto"/>
        <w:ind w:firstLine="562" w:firstLineChars="200"/>
        <w:rPr>
          <w:rFonts w:hint="eastAsia" w:ascii="宋体" w:hAnsi="宋体" w:eastAsia="宋体" w:cs="宋体"/>
          <w:b/>
          <w:bCs/>
          <w:color w:val="000000"/>
          <w:sz w:val="28"/>
          <w:szCs w:val="28"/>
          <w:lang w:eastAsia="zh-CN"/>
        </w:rPr>
      </w:pPr>
      <w:r>
        <w:rPr>
          <w:rFonts w:hint="eastAsia" w:ascii="宋体" w:hAnsi="宋体" w:eastAsia="宋体" w:cs="宋体"/>
          <w:b/>
          <w:bCs/>
          <w:color w:val="000000"/>
          <w:sz w:val="28"/>
          <w:szCs w:val="28"/>
          <w:lang w:val="en-US" w:eastAsia="zh-CN"/>
        </w:rPr>
        <w:t>5.2.9</w:t>
      </w:r>
      <w:r>
        <w:rPr>
          <w:rFonts w:hint="eastAsia" w:ascii="宋体" w:hAnsi="宋体" w:eastAsia="宋体" w:cs="宋体"/>
          <w:b/>
          <w:bCs/>
          <w:color w:val="000000"/>
          <w:sz w:val="28"/>
          <w:szCs w:val="28"/>
        </w:rPr>
        <w:t>就业发展</w:t>
      </w:r>
    </w:p>
    <w:p w14:paraId="3BEDACC9">
      <w:pPr>
        <w:spacing w:line="240" w:lineRule="auto"/>
        <w:ind w:firstLine="562" w:firstLineChars="200"/>
        <w:rPr>
          <w:rFonts w:hint="eastAsia" w:ascii="宋体" w:hAnsi="宋体" w:eastAsia="宋体" w:cs="宋体"/>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（1）优化就业课程体系，提升职业素养</w:t>
      </w:r>
    </w:p>
    <w:p w14:paraId="3D544D13">
      <w:pPr>
        <w:spacing w:line="240" w:lineRule="auto"/>
        <w:ind w:firstLine="560" w:firstLineChars="200"/>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为提升研究生的职业素养与就业能力，我院对就业课程体系进行了全面优化。首先，学院将职业规划与就业指导课程纳入研究生培养方案，针对不同专业的特点，设计个性化的课程内容，涵盖行业分析、职业定位、求职策略等方面。其次，学院引入案例教学与情景模拟等互动式教学方法，通过分析真实求职案例、模拟职场场景，帮助学生掌握求职技巧与职场应对能力。此外，学院还开设了创新创业课程，鼓励学生探索多元化职业发展路径。通过系统化的课程设计，全面提升学生的职业素养与就业竞争力。</w:t>
      </w:r>
      <w:r>
        <w:rPr>
          <w:rFonts w:hint="eastAsia" w:ascii="宋体" w:hAnsi="宋体" w:eastAsia="宋体" w:cs="宋体"/>
          <w:sz w:val="28"/>
          <w:szCs w:val="28"/>
        </w:rPr>
        <w:t>2020年，学位点博士研究生就业率继续保持100%的优异成绩</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主要就业地点为高等教育单位和三甲医疗卫生单位</w:t>
      </w:r>
      <w:r>
        <w:rPr>
          <w:rFonts w:hint="eastAsia" w:ascii="宋体" w:hAnsi="宋体" w:eastAsia="宋体" w:cs="宋体"/>
          <w:sz w:val="28"/>
          <w:szCs w:val="28"/>
          <w:lang w:eastAsia="zh-CN"/>
        </w:rPr>
        <w:t>。</w:t>
      </w:r>
    </w:p>
    <w:p w14:paraId="4DB830DD">
      <w:pPr>
        <w:spacing w:line="240" w:lineRule="auto"/>
        <w:ind w:firstLine="562" w:firstLineChars="200"/>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（2）搭建实习实践平台，强化实践能力</w:t>
      </w:r>
    </w:p>
    <w:p w14:paraId="4D33EE71">
      <w:pPr>
        <w:spacing w:line="240" w:lineRule="auto"/>
        <w:ind w:firstLine="560" w:firstLineChars="200"/>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为增强研究生的实践能力，我院积极搭建实习实践平台。一方面，学院与地方企事业单位合作，建立了一批高质量的实习基地，为毕业生提供多样化的实习机会。另一方面，学院鼓励学生参与科研项目、学科竞赛及社会实践活动，将理论知识与实践应用相结合。同时，学院还设立了“实践导师制”，聘请行业专家担任校外导师，为学生提供实践指导与职业建议。此外，学院定期举办实习经验分享会，邀请优秀实习生分享心得，帮助学生更好地规划实习与职业发展。通过丰富的实践机会，有效提升了学生的职场适应能力。</w:t>
      </w:r>
    </w:p>
    <w:p w14:paraId="78C24E24">
      <w:pPr>
        <w:spacing w:line="240" w:lineRule="auto"/>
        <w:ind w:firstLine="562" w:firstLineChars="200"/>
        <w:rPr>
          <w:rFonts w:hint="eastAsia" w:ascii="宋体" w:hAnsi="宋体" w:eastAsia="宋体" w:cs="宋体"/>
          <w:b/>
          <w:bCs/>
          <w:kern w:val="2"/>
          <w:sz w:val="28"/>
          <w:szCs w:val="28"/>
          <w:highlight w:val="none"/>
          <w:lang w:val="en-US" w:eastAsia="zh-CN" w:bidi="ar-SA"/>
        </w:rPr>
      </w:pPr>
      <w:r>
        <w:rPr>
          <w:rFonts w:hint="eastAsia" w:ascii="宋体" w:hAnsi="宋体" w:eastAsia="宋体" w:cs="宋体"/>
          <w:b/>
          <w:bCs/>
          <w:kern w:val="2"/>
          <w:sz w:val="28"/>
          <w:szCs w:val="28"/>
          <w:highlight w:val="none"/>
          <w:lang w:val="en-US" w:eastAsia="zh-CN" w:bidi="ar-SA"/>
        </w:rPr>
        <w:t>（3）完善就业帮扶机制，精准服务学生需求</w:t>
      </w:r>
    </w:p>
    <w:p w14:paraId="61A26AB6">
      <w:pPr>
        <w:spacing w:line="240" w:lineRule="auto"/>
        <w:ind w:firstLine="560" w:firstLineChars="200"/>
        <w:rPr>
          <w:rFonts w:hint="eastAsia" w:ascii="宋体" w:hAnsi="宋体" w:eastAsia="宋体" w:cs="宋体"/>
          <w:kern w:val="2"/>
          <w:sz w:val="28"/>
          <w:szCs w:val="28"/>
          <w:highlight w:val="none"/>
          <w:lang w:val="en-US" w:eastAsia="zh-CN" w:bidi="ar-SA"/>
        </w:rPr>
      </w:pPr>
      <w:r>
        <w:rPr>
          <w:rFonts w:hint="eastAsia" w:ascii="宋体" w:hAnsi="宋体" w:eastAsia="宋体" w:cs="宋体"/>
          <w:kern w:val="2"/>
          <w:sz w:val="28"/>
          <w:szCs w:val="28"/>
          <w:highlight w:val="none"/>
          <w:lang w:val="en-US" w:eastAsia="zh-CN" w:bidi="ar-SA"/>
        </w:rPr>
        <w:t>为满足不同学生的就业需求，我院建立了完善的就业帮扶机制。首先，学院对研究生进行就业意向调查，根据学生的专业背景、职业目标及就业困难，提供个性化的就业指导。对于有创业意向的学生，学院提供创业培训、政策咨询及资源对接服务；对于希望继续深造的学生，学院提供升学指导与学术资源支持。其次，学院设立了“困难学生帮扶基金”，为经济困难学生提供求职补贴，减轻其经济压力。此外，学院还建立了校友联络机制，邀请校友担任就业导师，为学生提供职业发展建议与岗位推荐。通过精准化的服务，确保每位学生都能获得有效的就业支持。</w:t>
      </w:r>
    </w:p>
    <w:p w14:paraId="7CEDB253">
      <w:pPr>
        <w:spacing w:line="240" w:lineRule="auto"/>
        <w:ind w:firstLine="562" w:firstLineChars="200"/>
        <w:rPr>
          <w:rFonts w:hint="eastAsia" w:ascii="宋体" w:hAnsi="宋体" w:eastAsia="宋体" w:cs="仿宋"/>
          <w:b/>
          <w:bCs/>
          <w:sz w:val="28"/>
          <w:szCs w:val="28"/>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六</w:t>
      </w:r>
      <w:r>
        <w:rPr>
          <w:rFonts w:hint="eastAsia" w:ascii="宋体" w:hAnsi="宋体" w:eastAsia="宋体" w:cs="仿宋"/>
          <w:b/>
          <w:bCs/>
          <w:sz w:val="28"/>
          <w:szCs w:val="28"/>
          <w:lang w:eastAsia="zh-CN"/>
        </w:rPr>
        <w:t>）</w:t>
      </w:r>
      <w:r>
        <w:rPr>
          <w:rFonts w:hint="eastAsia" w:ascii="宋体" w:hAnsi="宋体" w:eastAsia="宋体" w:cs="仿宋"/>
          <w:b/>
          <w:bCs/>
          <w:sz w:val="28"/>
          <w:szCs w:val="28"/>
        </w:rPr>
        <w:t>研究</w:t>
      </w:r>
      <w:r>
        <w:rPr>
          <w:rFonts w:hint="eastAsia" w:ascii="宋体" w:hAnsi="宋体" w:eastAsia="宋体" w:cs="仿宋"/>
          <w:b/>
          <w:bCs/>
          <w:sz w:val="28"/>
          <w:szCs w:val="28"/>
          <w:lang w:val="en-US" w:eastAsia="zh-CN"/>
        </w:rPr>
        <w:t>生</w:t>
      </w:r>
      <w:r>
        <w:rPr>
          <w:rFonts w:hint="eastAsia" w:ascii="宋体" w:hAnsi="宋体" w:eastAsia="宋体" w:cs="仿宋"/>
          <w:b/>
          <w:bCs/>
          <w:sz w:val="28"/>
          <w:szCs w:val="28"/>
        </w:rPr>
        <w:t>的党建与思政教育</w:t>
      </w:r>
    </w:p>
    <w:p w14:paraId="460886A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highlight w:val="none"/>
          <w:lang w:eastAsia="zh-CN"/>
        </w:rPr>
      </w:pPr>
      <w:r>
        <w:rPr>
          <w:rFonts w:hint="eastAsia" w:asciiTheme="minorEastAsia" w:hAnsiTheme="minorEastAsia" w:eastAsiaTheme="minorEastAsia" w:cstheme="minorEastAsia"/>
          <w:sz w:val="28"/>
          <w:szCs w:val="28"/>
          <w:highlight w:val="none"/>
        </w:rPr>
        <w:t>2020年是充满挑战的一年，面对新冠疫情的严峻考验，我校思政教育工作始终紧紧围绕“立德树人”根本任务，深入推进学生思想政治教育。全体师生齐心协力，以</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疫情防控、理想信念教育、学风建设、心理健康、创新创业思维培养、学生安全</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rPr>
        <w:t>等为重点，确保了学生思想政治教育的有效开展</w:t>
      </w:r>
      <w:r>
        <w:rPr>
          <w:rFonts w:hint="eastAsia" w:asciiTheme="minorEastAsia" w:hAnsiTheme="minorEastAsia" w:eastAsiaTheme="minorEastAsia" w:cstheme="minorEastAsia"/>
          <w:sz w:val="28"/>
          <w:szCs w:val="28"/>
          <w:highlight w:val="none"/>
          <w:lang w:eastAsia="zh-CN"/>
        </w:rPr>
        <w:t>。</w:t>
      </w:r>
    </w:p>
    <w:p w14:paraId="58D2687B">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lang w:val="en-US" w:eastAsia="zh-CN"/>
        </w:rPr>
        <w:t>6.1</w:t>
      </w:r>
      <w:r>
        <w:rPr>
          <w:rFonts w:hint="eastAsia" w:asciiTheme="minorEastAsia" w:hAnsiTheme="minorEastAsia" w:eastAsiaTheme="minorEastAsia" w:cstheme="minorEastAsia"/>
          <w:b/>
          <w:bCs/>
          <w:sz w:val="28"/>
          <w:szCs w:val="28"/>
          <w:highlight w:val="none"/>
        </w:rPr>
        <w:t>强化疫情防控，筑牢思想防线</w:t>
      </w:r>
    </w:p>
    <w:p w14:paraId="1271DED3">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 w:val="28"/>
          <w:szCs w:val="28"/>
          <w:highlight w:val="none"/>
        </w:rPr>
        <w:t>在疫情防控的关键时期，我们深入贯彻落实国家及学校疫情防控政策，确保每一位学生的生命安全与身体健康。</w:t>
      </w:r>
      <w:r>
        <w:rPr>
          <w:rFonts w:hint="eastAsia" w:asciiTheme="minorEastAsia" w:hAnsiTheme="minorEastAsia" w:eastAsiaTheme="minorEastAsia" w:cstheme="minorEastAsia"/>
          <w:sz w:val="28"/>
          <w:szCs w:val="28"/>
          <w:highlight w:val="none"/>
          <w:lang w:val="en-US" w:eastAsia="zh-CN"/>
        </w:rPr>
        <w:t>在学校的领导下</w:t>
      </w:r>
      <w:r>
        <w:rPr>
          <w:rFonts w:hint="eastAsia" w:asciiTheme="minorEastAsia" w:hAnsiTheme="minorEastAsia" w:eastAsiaTheme="minorEastAsia" w:cstheme="minorEastAsia"/>
          <w:sz w:val="28"/>
          <w:szCs w:val="28"/>
          <w:highlight w:val="none"/>
        </w:rPr>
        <w:t>迅速建立了五级疫情防控工作体系，落实每日健康排查和信息上报，确保</w:t>
      </w:r>
      <w:r>
        <w:rPr>
          <w:rFonts w:hint="eastAsia" w:asciiTheme="minorEastAsia" w:hAnsiTheme="minorEastAsia" w:eastAsiaTheme="minorEastAsia" w:cstheme="minorEastAsia"/>
          <w:sz w:val="28"/>
          <w:szCs w:val="28"/>
          <w:highlight w:val="none"/>
          <w:lang w:val="en-US" w:eastAsia="zh-CN"/>
        </w:rPr>
        <w:t>对每位</w:t>
      </w:r>
      <w:r>
        <w:rPr>
          <w:rFonts w:hint="eastAsia" w:asciiTheme="minorEastAsia" w:hAnsiTheme="minorEastAsia" w:eastAsiaTheme="minorEastAsia" w:cstheme="minorEastAsia"/>
          <w:sz w:val="28"/>
          <w:szCs w:val="28"/>
          <w:highlight w:val="none"/>
        </w:rPr>
        <w:t>学生的健康状况</w:t>
      </w:r>
      <w:r>
        <w:rPr>
          <w:rFonts w:hint="eastAsia" w:asciiTheme="minorEastAsia" w:hAnsiTheme="minorEastAsia" w:eastAsiaTheme="minorEastAsia" w:cstheme="minorEastAsia"/>
          <w:sz w:val="28"/>
          <w:szCs w:val="28"/>
          <w:highlight w:val="none"/>
          <w:lang w:val="en-US" w:eastAsia="zh-CN"/>
        </w:rPr>
        <w:t>做到</w:t>
      </w:r>
      <w:r>
        <w:rPr>
          <w:rFonts w:hint="eastAsia" w:asciiTheme="minorEastAsia" w:hAnsiTheme="minorEastAsia" w:eastAsiaTheme="minorEastAsia" w:cstheme="minorEastAsia"/>
          <w:sz w:val="28"/>
          <w:szCs w:val="28"/>
          <w:highlight w:val="none"/>
        </w:rPr>
        <w:t>及时了解</w:t>
      </w:r>
      <w:r>
        <w:rPr>
          <w:rFonts w:hint="eastAsia" w:asciiTheme="minorEastAsia" w:hAnsiTheme="minorEastAsia" w:eastAsiaTheme="minorEastAsia" w:cstheme="minorEastAsia"/>
          <w:sz w:val="28"/>
          <w:szCs w:val="28"/>
          <w:highlight w:val="none"/>
          <w:lang w:eastAsia="zh-CN"/>
        </w:rPr>
        <w:t>。所有工作人员坚持每天例会制度，保证“大事不过夜，小事立刻办”。</w:t>
      </w:r>
      <w:r>
        <w:rPr>
          <w:rFonts w:hint="eastAsia" w:asciiTheme="minorEastAsia" w:hAnsiTheme="minorEastAsia" w:eastAsiaTheme="minorEastAsia" w:cstheme="minorEastAsia"/>
          <w:sz w:val="28"/>
          <w:szCs w:val="28"/>
          <w:highlight w:val="none"/>
          <w:lang w:val="en-US" w:eastAsia="zh-CN"/>
        </w:rPr>
        <w:t>完善</w:t>
      </w:r>
      <w:r>
        <w:rPr>
          <w:rFonts w:hint="eastAsia" w:asciiTheme="minorEastAsia" w:hAnsiTheme="minorEastAsia" w:eastAsiaTheme="minorEastAsia" w:cstheme="minorEastAsia"/>
          <w:sz w:val="28"/>
          <w:szCs w:val="28"/>
          <w:highlight w:val="none"/>
          <w:lang w:eastAsia="zh-CN"/>
        </w:rPr>
        <w:t>《疫情防控期间学生突发事件应急处理预案》、《疫情防控期间学生共组专班预工作制度》，并发布了《本科生、研究生共抗疫情倡议书》。</w:t>
      </w:r>
    </w:p>
    <w:p w14:paraId="0107192B">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lang w:val="en-US" w:eastAsia="zh-CN"/>
        </w:rPr>
        <w:t>6.2</w:t>
      </w:r>
      <w:r>
        <w:rPr>
          <w:rFonts w:hint="eastAsia" w:asciiTheme="minorEastAsia" w:hAnsiTheme="minorEastAsia" w:eastAsiaTheme="minorEastAsia" w:cstheme="minorEastAsia"/>
          <w:b/>
          <w:bCs/>
          <w:sz w:val="28"/>
          <w:szCs w:val="28"/>
          <w:highlight w:val="none"/>
        </w:rPr>
        <w:t>理想信念教育，增强思想政治引领</w:t>
      </w:r>
    </w:p>
    <w:p w14:paraId="5ABC356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rPr>
        <w:t>理想信念教育始终是思政工作的核心，2020年，我们持续强化“理想信念”教育，以此为抓手加强学生的政治理论水平和责任感。</w:t>
      </w:r>
      <w:r>
        <w:rPr>
          <w:rFonts w:hint="eastAsia" w:asciiTheme="minorEastAsia" w:hAnsiTheme="minorEastAsia" w:eastAsiaTheme="minorEastAsia" w:cstheme="minorEastAsia"/>
          <w:sz w:val="28"/>
          <w:szCs w:val="28"/>
          <w:highlight w:val="none"/>
          <w:lang w:val="en-US" w:eastAsia="zh-CN"/>
        </w:rPr>
        <w:t>面对疫情，各党支部采取“宿舍微讲堂”的形式，增强政治意识，加强理论学习共计100余次。同时打造思想政治教育工作品牌，以项目促建设，以项目带成效。创新开展“实践育人+党建”特色工作，《学史力行心向党 精研岐黄惠于民》。认真落实党风廉政建设责任制，学生科全体科级实职党员干部向医院党委递交了《党风廉政建设承诺书》。</w:t>
      </w:r>
    </w:p>
    <w:p w14:paraId="139B1756">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b/>
          <w:bCs/>
          <w:sz w:val="28"/>
          <w:szCs w:val="28"/>
          <w:highlight w:val="none"/>
        </w:rPr>
      </w:pPr>
      <w:r>
        <w:rPr>
          <w:rFonts w:hint="eastAsia" w:asciiTheme="minorEastAsia" w:hAnsiTheme="minorEastAsia" w:cstheme="minorEastAsia"/>
          <w:b/>
          <w:bCs/>
          <w:sz w:val="28"/>
          <w:szCs w:val="28"/>
          <w:highlight w:val="none"/>
          <w:lang w:val="en-US" w:eastAsia="zh-CN"/>
        </w:rPr>
        <w:t>6.3</w:t>
      </w:r>
      <w:r>
        <w:rPr>
          <w:rFonts w:hint="eastAsia" w:asciiTheme="minorEastAsia" w:hAnsiTheme="minorEastAsia" w:eastAsiaTheme="minorEastAsia" w:cstheme="minorEastAsia"/>
          <w:b/>
          <w:bCs/>
          <w:sz w:val="28"/>
          <w:szCs w:val="28"/>
          <w:highlight w:val="none"/>
        </w:rPr>
        <w:t>心理育人，关爱学生心理健康</w:t>
      </w:r>
    </w:p>
    <w:p w14:paraId="6BBB7F55">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积极组织学生参加并承办学校心理健康活动月活动，并以附属医院心理辅导站--“心悦小站”为依托，开展形式多样、内容丰富的心理健康教育活动。</w:t>
      </w:r>
      <w:r>
        <w:rPr>
          <w:rFonts w:hint="eastAsia" w:asciiTheme="minorEastAsia" w:hAnsiTheme="minorEastAsia" w:eastAsiaTheme="minorEastAsia" w:cstheme="minorEastAsia"/>
          <w:sz w:val="28"/>
          <w:szCs w:val="28"/>
          <w:highlight w:val="none"/>
        </w:rPr>
        <w:t>面对疫情带来的心理挑战，我们高度关注学生的心理健康问题，确保每位学生都能获得必要的心理疏导和支持。定期举办</w:t>
      </w:r>
      <w:r>
        <w:rPr>
          <w:rFonts w:hint="eastAsia" w:asciiTheme="minorEastAsia" w:hAnsiTheme="minorEastAsia" w:eastAsiaTheme="minorEastAsia" w:cstheme="minorEastAsia"/>
          <w:sz w:val="28"/>
          <w:szCs w:val="28"/>
          <w:highlight w:val="none"/>
          <w:lang w:val="en-US" w:eastAsia="zh-CN"/>
        </w:rPr>
        <w:t>线上</w:t>
      </w:r>
      <w:r>
        <w:rPr>
          <w:rFonts w:hint="eastAsia" w:asciiTheme="minorEastAsia" w:hAnsiTheme="minorEastAsia" w:eastAsiaTheme="minorEastAsia" w:cstheme="minorEastAsia"/>
          <w:sz w:val="28"/>
          <w:szCs w:val="28"/>
          <w:highlight w:val="none"/>
        </w:rPr>
        <w:t>心理健康讲座、团体辅导和一对一心理咨询，帮助学生缓解焦虑情绪、增强心理韧性</w:t>
      </w:r>
      <w:r>
        <w:rPr>
          <w:rFonts w:hint="eastAsia" w:asciiTheme="minorEastAsia" w:hAnsiTheme="minorEastAsia" w:eastAsiaTheme="minorEastAsia" w:cstheme="minorEastAsia"/>
          <w:sz w:val="28"/>
          <w:szCs w:val="28"/>
          <w:highlight w:val="none"/>
          <w:lang w:eastAsia="zh-CN"/>
        </w:rPr>
        <w:t>。</w:t>
      </w:r>
      <w:r>
        <w:rPr>
          <w:rFonts w:hint="eastAsia" w:asciiTheme="minorEastAsia" w:hAnsiTheme="minorEastAsia" w:eastAsiaTheme="minorEastAsia" w:cstheme="minorEastAsia"/>
          <w:sz w:val="28"/>
          <w:szCs w:val="28"/>
          <w:highlight w:val="none"/>
          <w:lang w:val="en-US" w:eastAsia="zh-CN"/>
        </w:rPr>
        <w:t>举拓宽教育渠道，在附属医院微信公众平台“河中医一附院微青年”上开设“心悦小站”专栏宣传心理健康教育知识及相关活动内容，向广大同学传递正能量；做好学生心理健康状况排查并按规定上报，密切关注同学们在疫情期间的心理变化，重点关注心理问题学生并及时与学生家长沟通、联系，坚持在学工例会上对心理问题学生进行专门的案例讨论，时刻留意重点学生的心理变化。</w:t>
      </w:r>
      <w:r>
        <w:rPr>
          <w:rFonts w:hint="eastAsia" w:asciiTheme="minorEastAsia" w:hAnsiTheme="minorEastAsia" w:eastAsiaTheme="minorEastAsia" w:cstheme="minorEastAsia"/>
          <w:sz w:val="28"/>
          <w:szCs w:val="28"/>
          <w:highlight w:val="none"/>
        </w:rPr>
        <w:t>调整心理状态，度过艰难时光</w:t>
      </w:r>
      <w:r>
        <w:rPr>
          <w:rFonts w:hint="eastAsia" w:asciiTheme="minorEastAsia" w:hAnsiTheme="minorEastAsia" w:eastAsiaTheme="minorEastAsia" w:cstheme="minorEastAsia"/>
          <w:sz w:val="28"/>
          <w:szCs w:val="28"/>
          <w:highlight w:val="none"/>
          <w:lang w:eastAsia="zh-CN"/>
        </w:rPr>
        <w:t>。</w:t>
      </w:r>
    </w:p>
    <w:p w14:paraId="17985BE7">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6.4创新驱动，实践育人</w:t>
      </w:r>
    </w:p>
    <w:p w14:paraId="307F601A">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rPr>
        <w:t>创新是当代学生综合素质的重要体现。</w:t>
      </w:r>
      <w:r>
        <w:rPr>
          <w:rFonts w:hint="default" w:asciiTheme="minorEastAsia" w:hAnsiTheme="minorEastAsia" w:eastAsiaTheme="minorEastAsia" w:cstheme="minorEastAsia"/>
          <w:sz w:val="28"/>
          <w:szCs w:val="28"/>
          <w:highlight w:val="none"/>
          <w:lang w:val="en-US" w:eastAsia="zh-CN"/>
        </w:rPr>
        <w:t>为培养学生的科研创新意识和社会责任感，积极</w:t>
      </w:r>
      <w:r>
        <w:rPr>
          <w:rFonts w:hint="eastAsia" w:asciiTheme="minorEastAsia" w:hAnsiTheme="minorEastAsia" w:eastAsiaTheme="minorEastAsia" w:cstheme="minorEastAsia"/>
          <w:sz w:val="28"/>
          <w:szCs w:val="28"/>
          <w:highlight w:val="none"/>
        </w:rPr>
        <w:t>组织研究生参加“挑战杯”“互联网+”等科技创新竞赛，</w:t>
      </w:r>
      <w:r>
        <w:rPr>
          <w:rFonts w:hint="eastAsia" w:asciiTheme="minorEastAsia" w:hAnsiTheme="minorEastAsia" w:eastAsiaTheme="minorEastAsia" w:cstheme="minorEastAsia"/>
          <w:sz w:val="28"/>
          <w:szCs w:val="28"/>
          <w:highlight w:val="none"/>
          <w:lang w:val="en-US" w:eastAsia="zh-CN"/>
        </w:rPr>
        <w:t>取得优异成绩</w:t>
      </w:r>
      <w:r>
        <w:rPr>
          <w:rFonts w:hint="default" w:asciiTheme="minorEastAsia" w:hAnsiTheme="minorEastAsia" w:eastAsiaTheme="minorEastAsia" w:cstheme="minorEastAsia"/>
          <w:sz w:val="28"/>
          <w:szCs w:val="28"/>
          <w:highlight w:val="none"/>
          <w:lang w:val="en-US" w:eastAsia="zh-CN"/>
        </w:rPr>
        <w:t>。</w:t>
      </w:r>
      <w:r>
        <w:rPr>
          <w:rFonts w:hint="eastAsia" w:asciiTheme="minorEastAsia" w:hAnsiTheme="minorEastAsia" w:eastAsiaTheme="minorEastAsia" w:cstheme="minorEastAsia"/>
          <w:sz w:val="28"/>
          <w:szCs w:val="28"/>
          <w:highlight w:val="none"/>
          <w:lang w:val="en-US" w:eastAsia="zh-CN"/>
        </w:rPr>
        <w:t>同时</w:t>
      </w:r>
      <w:r>
        <w:rPr>
          <w:rFonts w:hint="default" w:asciiTheme="minorEastAsia" w:hAnsiTheme="minorEastAsia" w:eastAsiaTheme="minorEastAsia" w:cstheme="minorEastAsia"/>
          <w:sz w:val="28"/>
          <w:szCs w:val="28"/>
          <w:highlight w:val="none"/>
          <w:lang w:val="en-US" w:eastAsia="zh-CN"/>
        </w:rPr>
        <w:t>注重培养学生的社会责任感和实践能力，积极组织暑期“三下乡”社会实践活动。今年，我院志愿者团队在疫情防控常态化的背景下，赴南阳开展了以“寻根医圣故里，点亮岐黄之光”为主题的文化科技卫生社会实践活动。</w:t>
      </w:r>
      <w:r>
        <w:rPr>
          <w:rFonts w:hint="eastAsia" w:asciiTheme="minorEastAsia" w:hAnsiTheme="minorEastAsia" w:eastAsiaTheme="minorEastAsia" w:cstheme="minorEastAsia"/>
          <w:sz w:val="28"/>
          <w:szCs w:val="28"/>
          <w:highlight w:val="none"/>
          <w:lang w:val="en-US" w:eastAsia="zh-CN"/>
        </w:rPr>
        <w:t>学以致用，助力学生全面发展。</w:t>
      </w:r>
    </w:p>
    <w:p w14:paraId="40759397">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sz w:val="28"/>
          <w:szCs w:val="28"/>
          <w:highlight w:val="none"/>
        </w:rPr>
      </w:pPr>
      <w:r>
        <w:rPr>
          <w:rFonts w:hint="eastAsia" w:asciiTheme="minorEastAsia" w:hAnsiTheme="minorEastAsia" w:eastAsiaTheme="minorEastAsia" w:cstheme="minorEastAsia"/>
          <w:b/>
          <w:bCs/>
          <w:sz w:val="28"/>
          <w:szCs w:val="28"/>
          <w:highlight w:val="none"/>
          <w:lang w:val="en-US" w:eastAsia="zh-CN"/>
        </w:rPr>
        <w:t>6.5</w:t>
      </w:r>
      <w:r>
        <w:rPr>
          <w:rFonts w:hint="eastAsia" w:asciiTheme="minorEastAsia" w:hAnsiTheme="minorEastAsia" w:eastAsiaTheme="minorEastAsia" w:cstheme="minorEastAsia"/>
          <w:b/>
          <w:bCs/>
          <w:sz w:val="28"/>
          <w:szCs w:val="28"/>
          <w:highlight w:val="none"/>
        </w:rPr>
        <w:t>学生安全，构建安全校园环境</w:t>
      </w:r>
    </w:p>
    <w:p w14:paraId="036A43DE">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default"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始终把学生的生命安全与身体健康放在首位，紧紧围绕学生安全工作，落实各项安全管理措施，确保校园的和谐稳定。</w:t>
      </w:r>
      <w:r>
        <w:rPr>
          <w:rFonts w:hint="eastAsia" w:asciiTheme="minorEastAsia" w:hAnsiTheme="minorEastAsia" w:eastAsiaTheme="minorEastAsia" w:cstheme="minorEastAsia"/>
          <w:sz w:val="28"/>
          <w:szCs w:val="28"/>
          <w:highlight w:val="none"/>
        </w:rPr>
        <w:t>定期开展安全教育讲座，强调学生个人安全意识，普及防灾防疫、交通安全等基础知识。</w:t>
      </w:r>
      <w:r>
        <w:rPr>
          <w:rFonts w:hint="eastAsia" w:asciiTheme="minorEastAsia" w:hAnsiTheme="minorEastAsia" w:eastAsiaTheme="minorEastAsia" w:cstheme="minorEastAsia"/>
          <w:sz w:val="28"/>
          <w:szCs w:val="28"/>
          <w:highlight w:val="none"/>
          <w:lang w:val="en-US" w:eastAsia="zh-CN"/>
        </w:rPr>
        <w:t>在洪水面前，党委“吹哨”，学工“报到”。第一时间建立起四级抗洪救援工作小组。学工办多措并举，启动排查。每日通过智慧校园系统发起学生安全签到，全面掌握学生动向。确保学生人身安全。通过多重有效渠道发布权威准确的防洪救灾情况，鼓励学生科学防洪防疫，要求学生不信谣、不传谣，精准传递信息。</w:t>
      </w:r>
    </w:p>
    <w:p w14:paraId="13807AD7">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sz w:val="28"/>
          <w:szCs w:val="28"/>
          <w:highlight w:val="none"/>
          <w:lang w:val="en-US" w:eastAsia="zh-CN"/>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七</w:t>
      </w:r>
      <w:r>
        <w:rPr>
          <w:rFonts w:hint="eastAsia" w:ascii="宋体" w:hAnsi="宋体" w:eastAsia="宋体" w:cs="仿宋"/>
          <w:b/>
          <w:bCs/>
          <w:sz w:val="28"/>
          <w:szCs w:val="28"/>
          <w:lang w:eastAsia="zh-CN"/>
        </w:rPr>
        <w:t>）</w:t>
      </w:r>
      <w:r>
        <w:rPr>
          <w:rFonts w:hint="eastAsia" w:ascii="宋体" w:hAnsi="宋体" w:eastAsia="宋体" w:cs="仿宋"/>
          <w:b/>
          <w:bCs/>
          <w:sz w:val="28"/>
          <w:szCs w:val="28"/>
        </w:rPr>
        <w:t>服务社会</w:t>
      </w:r>
    </w:p>
    <w:p w14:paraId="57B6E580">
      <w:pPr>
        <w:keepNext w:val="0"/>
        <w:keepLines w:val="0"/>
        <w:pageBreakBefore w:val="0"/>
        <w:widowControl w:val="0"/>
        <w:kinsoku/>
        <w:wordWrap/>
        <w:overflowPunct/>
        <w:topLinePunct w:val="0"/>
        <w:autoSpaceDE/>
        <w:autoSpaceDN/>
        <w:bidi w:val="0"/>
        <w:adjustRightInd/>
        <w:snapToGrid/>
        <w:spacing w:line="240" w:lineRule="auto"/>
        <w:ind w:firstLine="562" w:firstLineChars="200"/>
        <w:textAlignment w:val="auto"/>
        <w:rPr>
          <w:rFonts w:hint="eastAsia" w:asciiTheme="minorEastAsia" w:hAnsiTheme="minorEastAsia" w:eastAsiaTheme="minorEastAsia" w:cstheme="minorEastAsia"/>
          <w:b/>
          <w:bCs/>
          <w:sz w:val="28"/>
          <w:szCs w:val="28"/>
          <w:highlight w:val="none"/>
          <w:lang w:val="en-US" w:eastAsia="zh-CN"/>
        </w:rPr>
      </w:pPr>
      <w:r>
        <w:rPr>
          <w:rFonts w:hint="eastAsia" w:asciiTheme="minorEastAsia" w:hAnsiTheme="minorEastAsia" w:eastAsiaTheme="minorEastAsia" w:cstheme="minorEastAsia"/>
          <w:b/>
          <w:bCs/>
          <w:sz w:val="28"/>
          <w:szCs w:val="28"/>
          <w:highlight w:val="none"/>
          <w:lang w:val="en-US" w:eastAsia="zh-CN"/>
        </w:rPr>
        <w:t>7.1积极推进中医药标准化，助力行业发展</w:t>
      </w:r>
    </w:p>
    <w:p w14:paraId="524EFBC8">
      <w:pPr>
        <w:keepNext w:val="0"/>
        <w:keepLines w:val="0"/>
        <w:pageBreakBefore w:val="0"/>
        <w:widowControl w:val="0"/>
        <w:kinsoku/>
        <w:wordWrap/>
        <w:overflowPunct/>
        <w:topLinePunct w:val="0"/>
        <w:autoSpaceDE/>
        <w:autoSpaceDN/>
        <w:bidi w:val="0"/>
        <w:adjustRightInd/>
        <w:snapToGrid/>
        <w:spacing w:line="240" w:lineRule="auto"/>
        <w:ind w:firstLine="560" w:firstLineChars="200"/>
        <w:textAlignment w:val="auto"/>
        <w:rPr>
          <w:rFonts w:hint="eastAsia" w:asciiTheme="minorEastAsia" w:hAnsiTheme="minorEastAsia" w:eastAsiaTheme="minorEastAsia" w:cstheme="minorEastAsia"/>
          <w:sz w:val="28"/>
          <w:szCs w:val="28"/>
          <w:highlight w:val="none"/>
          <w:lang w:val="en-US" w:eastAsia="zh-CN"/>
        </w:rPr>
      </w:pPr>
      <w:r>
        <w:rPr>
          <w:rFonts w:hint="eastAsia" w:asciiTheme="minorEastAsia" w:hAnsiTheme="minorEastAsia" w:eastAsiaTheme="minorEastAsia" w:cstheme="minorEastAsia"/>
          <w:sz w:val="28"/>
          <w:szCs w:val="28"/>
          <w:highlight w:val="none"/>
          <w:lang w:val="en-US" w:eastAsia="zh-CN"/>
        </w:rPr>
        <w:t>围绕中医规范化等亟待解决的关键科学问题开展研究，牵头制定28 项标准/指南/专家共识并发布推广，有力推动了相关疾病诊疗水平的提高和学术发展。如呼吸方向牵头制定和修订慢阻肺中医证候诊断标准(2011 版)等11项标准、慢阻肺中医诊疗指南等7项诊疗指南；牵头制定河南省《新冠肺炎中医辨证治疗要点(试行版)并通过省卫健委发布，制定新冠肺炎中医证候诊断标准、中医康复专家共识并通过学会发布推广部分标准和指南已在全国60家中医和中西医结合医院推广应用。儿科方向制定儿童紫癜性肾炎、小儿原发性肾病综合征、急性肾小球肾炎病种3个中医诊疗指南及临床路径，通过学会颁布。肝胆病方向牵头修订《胆囊炎中医诊疗专家共识意见》、《鼓胀(乙肝肝硬化腹水)中医诊疗方案》、《中医禁食疗法专家共识》等3项专家共识/诊疗方案并发布。多项标准/指南/专家共识的制定，凸显出中医药诊疗优势，居国内领先水平，为临床诊疗提供了指导规范，为同领域的相关研究提供了借鉴和示范。</w:t>
      </w:r>
    </w:p>
    <w:p w14:paraId="0AEC143B">
      <w:pPr>
        <w:keepNext w:val="0"/>
        <w:keepLines w:val="0"/>
        <w:widowControl/>
        <w:suppressLineNumbers w:val="0"/>
        <w:spacing w:line="240" w:lineRule="auto"/>
        <w:ind w:firstLine="562" w:firstLineChars="200"/>
        <w:jc w:val="left"/>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7.2发挥中医药优势，疫情防控显担当</w:t>
      </w:r>
    </w:p>
    <w:p w14:paraId="22CA78B3">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与全国人民共克时艰。</w:t>
      </w:r>
      <w:r>
        <w:rPr>
          <w:rFonts w:hint="eastAsia" w:ascii="宋体" w:hAnsi="宋体" w:eastAsia="宋体" w:cs="宋体"/>
          <w:color w:val="auto"/>
          <w:kern w:val="0"/>
          <w:sz w:val="28"/>
          <w:szCs w:val="28"/>
          <w:lang w:val="en-US" w:eastAsia="zh-CN" w:bidi="ar"/>
        </w:rPr>
        <w:t>面对疫情大难大战大考，我校师生不畏险阻勇担重担，为筑牢中原防线、为全国抗疫大局贡献了重要力量，生动诠释了为国担难、为民尽责的价值追求。组建了呼吸、重症医学、感染管理专业 37 名医护人员组成国家(河南)中医医疗队和援鄂医疗转运队，以省政协委员郑福增为队长，坚守武汉江夏方舱医院中医药治疗有效率 100%，圆满完成援鄂使命，获全国抗疫个人至高荣誉。</w:t>
      </w:r>
    </w:p>
    <w:p w14:paraId="478F2573">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支持全省抗疫斗争。</w:t>
      </w:r>
      <w:r>
        <w:rPr>
          <w:rFonts w:hint="eastAsia" w:ascii="宋体" w:hAnsi="宋体" w:eastAsia="宋体" w:cs="宋体"/>
          <w:color w:val="auto"/>
          <w:kern w:val="0"/>
          <w:sz w:val="28"/>
          <w:szCs w:val="28"/>
          <w:lang w:val="en-US" w:eastAsia="zh-CN" w:bidi="ar"/>
        </w:rPr>
        <w:t>我校附属医院作为省级定点救治中医院，建成国家中医重大疫情救治基地1个。向新郑机场派驻3个工作队，排查入境航班63架次，隔离留观境外输入病例 269人。派出资深专家赴全省各地指导疫病救治，培训基础 214 名医护人员，极大提高了地方防疫抗疫能力。有 12 个先进集体、102名先进个人分别获得省部级、校级表彰。</w:t>
      </w:r>
    </w:p>
    <w:p w14:paraId="35A6AC34">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研制抗疫辨治方案。</w:t>
      </w:r>
      <w:r>
        <w:rPr>
          <w:rFonts w:hint="eastAsia" w:ascii="宋体" w:hAnsi="宋体" w:eastAsia="宋体" w:cs="宋体"/>
          <w:color w:val="auto"/>
          <w:kern w:val="0"/>
          <w:sz w:val="28"/>
          <w:szCs w:val="28"/>
          <w:lang w:val="en-US" w:eastAsia="zh-CN" w:bidi="ar"/>
        </w:rPr>
        <w:t>牵头新冠肺炎中西医结合防治重大科技攻关课题，制订《新型冠状病毒肺炎中医证候诊断标准(试行)》、《新型冠病毒肺炎中医康复专家共识(第一版)》、《新冠肺炎中医辨证治疗要点(试行版)》，通过中华中医药学会肺系病分会发布推广，提高了临床救治能力。91 岁国医大师张磊教授积极为疫情前线献方献药。</w:t>
      </w:r>
    </w:p>
    <w:p w14:paraId="132A322B">
      <w:pPr>
        <w:keepNext w:val="0"/>
        <w:keepLines w:val="0"/>
        <w:widowControl/>
        <w:suppressLineNumbers w:val="0"/>
        <w:spacing w:line="240" w:lineRule="auto"/>
        <w:ind w:firstLine="562" w:firstLineChars="200"/>
        <w:jc w:val="left"/>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7.3发挥专业优势，助力脱贫攻坚</w:t>
      </w:r>
    </w:p>
    <w:p w14:paraId="7BE4168B">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积极参加“校地结对帮扶”工作。</w:t>
      </w:r>
      <w:r>
        <w:rPr>
          <w:rFonts w:hint="eastAsia" w:ascii="宋体" w:hAnsi="宋体" w:eastAsia="宋体" w:cs="宋体"/>
          <w:color w:val="auto"/>
          <w:kern w:val="0"/>
          <w:sz w:val="28"/>
          <w:szCs w:val="28"/>
          <w:lang w:val="en-US" w:eastAsia="zh-CN" w:bidi="ar"/>
        </w:rPr>
        <w:t>以精准扶贫特色项目为抓手，对口帮扶睢县中医院、上蔡县中医院、嵩县中医院、郸城县中医院、新县人民医院和新县中医院，派遣学科业务骨干担任帮扶医院科室主任,先后派遣 156名专家和7名干部为期6个月以上全职对医院进行全面帮扶服务门诊病人 1.5万余人次:实行学科资深专家每月巡诊制，共出诊 1186 人次;免费接收帮扶医院人员进修培训，共接收帮扶医院进修培训人员265 人次，中层骨干来学科轮训4次:“国医帮扶平台”培训基层医师 600 多人次，捐助 10 万余元医疗设备。</w:t>
      </w:r>
    </w:p>
    <w:p w14:paraId="5ECA45F1">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受帮扶医院医疗服务能力显著提高，县域医疗龙头作用凸显。</w:t>
      </w:r>
      <w:r>
        <w:rPr>
          <w:rFonts w:hint="eastAsia" w:ascii="宋体" w:hAnsi="宋体" w:eastAsia="宋体" w:cs="宋体"/>
          <w:color w:val="auto"/>
          <w:kern w:val="0"/>
          <w:sz w:val="28"/>
          <w:szCs w:val="28"/>
          <w:lang w:val="en-US" w:eastAsia="zh-CN" w:bidi="ar"/>
        </w:rPr>
        <w:t>睢县中医院病人转诊率从 13.8%下降到 2%以下，科室从 13 个增加到 42 个，中药技术新增52项，呼吸科成功申报河南省特色中医专科:上蔡县中医院获批“国家二级甲等中医院”，新增专科8个，开展新技术 25 项，艾滋病科和中风科成为省级重点专科:新县人民医院获批“二级甲等医院”，“五大中心”顺利通过验收，急诊重症监护室已正式开科:与新县中医院DR室搭建互联互通远程会诊平台，远程会诊 80余次。学科帮扶工作已成为河南省“校地结对帮扶”工作的品牌和亮点。</w:t>
      </w:r>
    </w:p>
    <w:p w14:paraId="0756DD74">
      <w:pPr>
        <w:keepNext w:val="0"/>
        <w:keepLines w:val="0"/>
        <w:widowControl/>
        <w:suppressLineNumbers w:val="0"/>
        <w:spacing w:line="240" w:lineRule="auto"/>
        <w:ind w:firstLine="562" w:firstLineChars="200"/>
        <w:jc w:val="left"/>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7.4开展实践育人工程，铸成服务品牌</w:t>
      </w:r>
    </w:p>
    <w:p w14:paraId="548126F2">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注重实践育人，发挥专业特色，引导学生进行创新创业实践。</w:t>
      </w:r>
      <w:r>
        <w:rPr>
          <w:rFonts w:hint="eastAsia" w:ascii="宋体" w:hAnsi="宋体" w:eastAsia="宋体" w:cs="宋体"/>
          <w:color w:val="auto"/>
          <w:kern w:val="0"/>
          <w:sz w:val="28"/>
          <w:szCs w:val="28"/>
          <w:lang w:val="en-US" w:eastAsia="zh-CN" w:bidi="ar"/>
        </w:rPr>
        <w:t>强化基地实践，利用前期在全国建立的 60 家转化推广示范基地及培训班等，分批派出学生进行科研实践。加强创新思维实践，鼓励和引导学生积极参加“岐黄杯”“远志杯”等活动，8人获“岐黄杯”优秀论文奖。助推基层实践，开展暑期“三下乡”社会实践活动，深入乡村开展义诊及中医知识讲座等活动。选派小分队 40 支，举办义诊 980 场，健康宜教 360 场，惠及河南 80余县 10万群众，并通过实践成果展示会等形式，完善实践育人链条，提升育人实效。连续四年被团中央评为“全国百强实践团队”、团中央千校千项暑期社会实践最美团队、团中央镜头下“三下乡”优秀团队和优秀个人，已形成品牌效应。</w:t>
      </w:r>
    </w:p>
    <w:p w14:paraId="55983AC7">
      <w:pPr>
        <w:keepNext w:val="0"/>
        <w:keepLines w:val="0"/>
        <w:widowControl/>
        <w:suppressLineNumbers w:val="0"/>
        <w:spacing w:line="240" w:lineRule="auto"/>
        <w:ind w:firstLine="562" w:firstLineChars="200"/>
        <w:jc w:val="left"/>
        <w:rPr>
          <w:rFonts w:hint="eastAsia" w:ascii="宋体" w:hAnsi="宋体" w:eastAsia="宋体" w:cs="宋体"/>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致力于打造志愿服务品牌。</w:t>
      </w:r>
      <w:r>
        <w:rPr>
          <w:rFonts w:hint="eastAsia" w:ascii="宋体" w:hAnsi="宋体" w:eastAsia="宋体" w:cs="宋体"/>
          <w:color w:val="auto"/>
          <w:kern w:val="0"/>
          <w:sz w:val="28"/>
          <w:szCs w:val="28"/>
          <w:lang w:val="en-US" w:eastAsia="zh-CN" w:bidi="ar"/>
        </w:rPr>
        <w:t>持续开展“百进社区”义诊、中医药文化进校园等活动，积极参与中国(河南)国际投资贸易洽谈会、中国(河南)招才引智创新发展大会等大型会议服务保障工作。累计开展志愿服务活动 500 余次，志愿服务时长2万余小时。获国家级荣誉共计 23 项，志愿者服务项目荣获全国金奖2 次、银奖2次，河南省特等奖3次，并获评全国示范项目。为服务地方发展、助力脱贫攻坚、促进乡村振兴做出了积极贡献。</w:t>
      </w:r>
    </w:p>
    <w:p w14:paraId="07C2DA95">
      <w:pPr>
        <w:spacing w:after="156" w:afterLines="50" w:line="560" w:lineRule="exact"/>
        <w:jc w:val="left"/>
        <w:rPr>
          <w:rFonts w:ascii="Times New Roman" w:hAnsi="Times New Roman" w:eastAsia="方正小标宋简体"/>
          <w:b/>
          <w:sz w:val="32"/>
          <w:szCs w:val="32"/>
        </w:rPr>
      </w:pPr>
      <w:r>
        <w:rPr>
          <w:rFonts w:hint="eastAsia" w:ascii="Times New Roman" w:hAnsi="Times New Roman" w:eastAsia="方正小标宋简体"/>
          <w:b/>
          <w:sz w:val="32"/>
          <w:szCs w:val="32"/>
        </w:rPr>
        <w:t>三、</w:t>
      </w:r>
      <w:bookmarkStart w:id="2" w:name="OLE_LINK9"/>
      <w:r>
        <w:rPr>
          <w:rFonts w:hint="eastAsia" w:ascii="Times New Roman" w:hAnsi="Times New Roman" w:eastAsia="方正小标宋简体"/>
          <w:b/>
          <w:sz w:val="32"/>
          <w:szCs w:val="32"/>
        </w:rPr>
        <w:t>学位点建设评估与分析</w:t>
      </w:r>
    </w:p>
    <w:bookmarkEnd w:id="2"/>
    <w:p w14:paraId="70CCF791">
      <w:pPr>
        <w:spacing w:line="360" w:lineRule="auto"/>
        <w:ind w:firstLine="562" w:firstLineChars="200"/>
        <w:rPr>
          <w:rFonts w:hint="eastAsia" w:ascii="宋体" w:hAnsi="宋体" w:eastAsia="宋体" w:cs="仿宋"/>
          <w:b/>
          <w:bCs/>
          <w:sz w:val="28"/>
          <w:szCs w:val="28"/>
          <w:lang w:val="en-US" w:eastAsia="zh-CN"/>
        </w:rPr>
      </w:pPr>
      <w:r>
        <w:rPr>
          <w:rFonts w:hint="eastAsia" w:ascii="宋体" w:hAnsi="宋体" w:eastAsia="宋体" w:cs="仿宋"/>
          <w:b/>
          <w:bCs/>
          <w:sz w:val="28"/>
          <w:szCs w:val="28"/>
          <w:lang w:eastAsia="zh-CN"/>
        </w:rPr>
        <w:t>（</w:t>
      </w:r>
      <w:r>
        <w:rPr>
          <w:rFonts w:hint="eastAsia" w:ascii="宋体" w:hAnsi="宋体" w:eastAsia="宋体" w:cs="仿宋"/>
          <w:b/>
          <w:bCs/>
          <w:sz w:val="28"/>
          <w:szCs w:val="28"/>
          <w:lang w:val="en-US" w:eastAsia="zh-CN"/>
        </w:rPr>
        <w:t>一</w:t>
      </w:r>
      <w:r>
        <w:rPr>
          <w:rFonts w:hint="eastAsia" w:ascii="宋体" w:hAnsi="宋体" w:eastAsia="宋体" w:cs="仿宋"/>
          <w:b/>
          <w:bCs/>
          <w:sz w:val="28"/>
          <w:szCs w:val="28"/>
          <w:lang w:eastAsia="zh-CN"/>
        </w:rPr>
        <w:t>）</w:t>
      </w:r>
      <w:r>
        <w:rPr>
          <w:rFonts w:hint="eastAsia" w:ascii="宋体" w:hAnsi="宋体" w:eastAsia="宋体" w:cs="仿宋"/>
          <w:b/>
          <w:bCs/>
          <w:sz w:val="28"/>
          <w:szCs w:val="28"/>
        </w:rPr>
        <w:t>建设进展</w:t>
      </w:r>
      <w:r>
        <w:rPr>
          <w:rFonts w:hint="eastAsia" w:ascii="宋体" w:hAnsi="宋体" w:eastAsia="宋体" w:cs="仿宋"/>
          <w:b/>
          <w:bCs/>
          <w:sz w:val="28"/>
          <w:szCs w:val="28"/>
          <w:lang w:val="en-US" w:eastAsia="zh-CN"/>
        </w:rPr>
        <w:t>及问题分析</w:t>
      </w:r>
    </w:p>
    <w:p w14:paraId="2C28DCCD">
      <w:pPr>
        <w:keepNext w:val="0"/>
        <w:keepLines w:val="0"/>
        <w:widowControl/>
        <w:suppressLineNumbers w:val="0"/>
        <w:spacing w:line="240" w:lineRule="auto"/>
        <w:ind w:firstLine="562" w:firstLineChars="200"/>
        <w:jc w:val="left"/>
        <w:rPr>
          <w:rFonts w:hint="default"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1.1建设进展</w:t>
      </w:r>
    </w:p>
    <w:p w14:paraId="06978C22">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1.1.1学科特色与研究方向形成优势</w:t>
      </w:r>
    </w:p>
    <w:p w14:paraId="1DC425CC">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本学科聚焦中医药临床与科研前沿，构建了呼吸疾病、儿科疾病、感染疾病等8个核心研究方向，通过临床与基础研究的紧密结合，取得了显著的科研成果和临床进展。不仅制定了多项行业标准和诊疗指南，还推动了新药研发和技术转化，提升了中医药在重大疾病防治中的学术影响力和服务能力，为学科的高质量发展奠定了坚实基础。</w:t>
      </w:r>
    </w:p>
    <w:p w14:paraId="7DBF4FEC">
      <w:pPr>
        <w:keepNext w:val="0"/>
        <w:keepLines w:val="0"/>
        <w:widowControl/>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1.1.2师资队伍呈现结构化升级</w:t>
      </w:r>
    </w:p>
    <w:p w14:paraId="1E682437">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学位点组建了一支325人的导师团队，形成“老中青”梯队合理、学术背景多元的人才格局。</w:t>
      </w:r>
      <w:r>
        <w:rPr>
          <w:rFonts w:hint="eastAsia" w:ascii="宋体" w:hAnsi="宋体" w:eastAsia="宋体" w:cs="宋体"/>
          <w:b/>
          <w:bCs/>
          <w:color w:val="000000"/>
          <w:kern w:val="0"/>
          <w:sz w:val="28"/>
          <w:szCs w:val="28"/>
          <w:lang w:val="en-US" w:eastAsia="zh-CN" w:bidi="ar"/>
        </w:rPr>
        <w:t>年轻化与活力：</w:t>
      </w:r>
      <w:r>
        <w:rPr>
          <w:rFonts w:hint="eastAsia" w:ascii="宋体" w:hAnsi="宋体" w:eastAsia="宋体" w:cs="宋体"/>
          <w:color w:val="000000"/>
          <w:kern w:val="2"/>
          <w:sz w:val="28"/>
          <w:szCs w:val="28"/>
          <w:lang w:val="en-US" w:eastAsia="zh-CN" w:bidi="ar-SA"/>
        </w:rPr>
        <w:t>其中45岁以下139人，占</w:t>
      </w:r>
      <w:r>
        <w:rPr>
          <w:rFonts w:hint="eastAsia" w:ascii="宋体" w:hAnsi="宋体" w:eastAsia="宋体" w:cs="宋体"/>
          <w:b w:val="0"/>
          <w:bCs w:val="0"/>
          <w:color w:val="000000"/>
          <w:kern w:val="2"/>
          <w:sz w:val="28"/>
          <w:szCs w:val="28"/>
          <w:lang w:val="en-US" w:eastAsia="zh-CN" w:bidi="ar-SA"/>
        </w:rPr>
        <w:t>比42.77%，</w:t>
      </w:r>
      <w:r>
        <w:rPr>
          <w:rFonts w:hint="eastAsia" w:ascii="宋体" w:hAnsi="宋体" w:eastAsia="宋体" w:cs="宋体"/>
          <w:color w:val="000000"/>
          <w:kern w:val="0"/>
          <w:sz w:val="28"/>
          <w:szCs w:val="28"/>
          <w:lang w:val="en-US" w:eastAsia="zh-CN" w:bidi="ar"/>
        </w:rPr>
        <w:t>为团队注入创新动能；</w:t>
      </w:r>
      <w:r>
        <w:rPr>
          <w:rFonts w:hint="eastAsia" w:ascii="宋体" w:hAnsi="宋体" w:eastAsia="宋体" w:cs="宋体"/>
          <w:b/>
          <w:bCs/>
          <w:color w:val="000000"/>
          <w:kern w:val="0"/>
          <w:sz w:val="28"/>
          <w:szCs w:val="28"/>
          <w:lang w:val="en-US" w:eastAsia="zh-CN" w:bidi="ar"/>
        </w:rPr>
        <w:t>高层次人才储备：</w:t>
      </w:r>
      <w:r>
        <w:rPr>
          <w:rFonts w:hint="eastAsia" w:ascii="宋体" w:hAnsi="宋体" w:eastAsia="宋体" w:cs="宋体"/>
          <w:color w:val="000000"/>
          <w:kern w:val="0"/>
          <w:sz w:val="28"/>
          <w:szCs w:val="28"/>
          <w:lang w:val="en-US" w:eastAsia="zh-CN" w:bidi="ar"/>
        </w:rPr>
        <w:t>正高级职称占比45.23%，成员学历层次显著提升。</w:t>
      </w:r>
    </w:p>
    <w:p w14:paraId="6847561F">
      <w:pPr>
        <w:keepNext w:val="0"/>
        <w:keepLines w:val="0"/>
        <w:widowControl/>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1.1.3教学科研支撑体系全面强化</w:t>
      </w:r>
    </w:p>
    <w:p w14:paraId="05B36252">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科研平台矩阵：</w:t>
      </w:r>
      <w:r>
        <w:rPr>
          <w:rFonts w:hint="eastAsia" w:ascii="宋体" w:hAnsi="宋体" w:eastAsia="宋体" w:cs="宋体"/>
          <w:color w:val="000000"/>
          <w:kern w:val="0"/>
          <w:sz w:val="28"/>
          <w:szCs w:val="28"/>
          <w:lang w:val="en-US" w:eastAsia="zh-CN" w:bidi="ar"/>
        </w:rPr>
        <w:t>拥有国家中医临床研究基地2个、省部共建协同创新中心1个、省部级平台20个，覆盖临床研究、中药开发、针灸机理等关键领域，为重大课题提供载体。</w:t>
      </w:r>
      <w:r>
        <w:rPr>
          <w:rFonts w:hint="eastAsia" w:ascii="宋体" w:hAnsi="宋体" w:eastAsia="宋体" w:cs="宋体"/>
          <w:b/>
          <w:bCs/>
          <w:color w:val="000000"/>
          <w:kern w:val="0"/>
          <w:sz w:val="28"/>
          <w:szCs w:val="28"/>
          <w:lang w:val="en-US" w:eastAsia="zh-CN" w:bidi="ar"/>
        </w:rPr>
        <w:t>临床教学资源</w:t>
      </w:r>
      <w:r>
        <w:rPr>
          <w:rFonts w:hint="eastAsia" w:ascii="宋体" w:hAnsi="宋体" w:eastAsia="宋体" w:cs="宋体"/>
          <w:color w:val="000000"/>
          <w:kern w:val="0"/>
          <w:sz w:val="28"/>
          <w:szCs w:val="28"/>
          <w:lang w:val="en-US" w:eastAsia="zh-CN" w:bidi="ar"/>
        </w:rPr>
        <w:t>：依托三所直属附属医院（开放床位7257张），建立“病房-门诊-实验室”三位一体的临床教学基地，年均接诊患者超百万人次，为研究生提供充足实践机会。</w:t>
      </w:r>
      <w:r>
        <w:rPr>
          <w:rFonts w:hint="eastAsia" w:ascii="宋体" w:hAnsi="宋体" w:eastAsia="宋体" w:cs="宋体"/>
          <w:b/>
          <w:bCs/>
          <w:color w:val="000000"/>
          <w:kern w:val="0"/>
          <w:sz w:val="28"/>
          <w:szCs w:val="28"/>
          <w:lang w:val="en-US" w:eastAsia="zh-CN" w:bidi="ar"/>
        </w:rPr>
        <w:t>实验教学创新：</w:t>
      </w:r>
      <w:r>
        <w:rPr>
          <w:rFonts w:hint="eastAsia" w:ascii="宋体" w:hAnsi="宋体" w:eastAsia="宋体" w:cs="宋体"/>
          <w:color w:val="000000"/>
          <w:kern w:val="0"/>
          <w:sz w:val="28"/>
          <w:szCs w:val="28"/>
          <w:lang w:val="en-US" w:eastAsia="zh-CN" w:bidi="ar"/>
        </w:rPr>
        <w:t>实验教学示范中心面积达15601m²，配备液相质谱联用仪、基因测序仪等多种尖端设备，</w:t>
      </w:r>
      <w:r>
        <w:rPr>
          <w:rFonts w:hint="eastAsia" w:ascii="宋体" w:hAnsi="宋体" w:eastAsia="宋体" w:cs="宋体"/>
          <w:bCs w:val="0"/>
          <w:color w:val="000000"/>
          <w:kern w:val="0"/>
          <w:sz w:val="28"/>
          <w:szCs w:val="28"/>
          <w:lang w:val="en-US" w:eastAsia="zh-CN" w:bidi="ar"/>
        </w:rPr>
        <w:t>总价值达4.2亿元，为教学科研提供了强有力的硬件支撑</w:t>
      </w:r>
      <w:r>
        <w:rPr>
          <w:rFonts w:hint="eastAsia" w:ascii="宋体" w:hAnsi="宋体" w:eastAsia="宋体" w:cs="宋体"/>
          <w:color w:val="000000"/>
          <w:kern w:val="0"/>
          <w:sz w:val="28"/>
          <w:szCs w:val="28"/>
          <w:lang w:val="en-US" w:eastAsia="zh-CN" w:bidi="ar"/>
        </w:rPr>
        <w:t>。</w:t>
      </w:r>
      <w:r>
        <w:rPr>
          <w:rFonts w:hint="eastAsia" w:ascii="宋体" w:hAnsi="宋体" w:eastAsia="宋体" w:cs="宋体"/>
          <w:b/>
          <w:bCs/>
          <w:color w:val="000000"/>
          <w:kern w:val="0"/>
          <w:sz w:val="28"/>
          <w:szCs w:val="28"/>
          <w:lang w:val="en-US" w:eastAsia="zh-CN" w:bidi="ar"/>
        </w:rPr>
        <w:t>学术资源保障：</w:t>
      </w:r>
      <w:r>
        <w:rPr>
          <w:rFonts w:hint="eastAsia" w:ascii="宋体" w:hAnsi="宋体" w:eastAsia="宋体" w:cs="宋体"/>
          <w:color w:val="000000"/>
          <w:kern w:val="0"/>
          <w:sz w:val="28"/>
          <w:szCs w:val="28"/>
          <w:lang w:val="en-US" w:eastAsia="zh-CN" w:bidi="ar"/>
        </w:rPr>
        <w:t>图书馆藏总量超</w:t>
      </w:r>
      <w:r>
        <w:rPr>
          <w:rFonts w:hint="eastAsia" w:ascii="宋体" w:hAnsi="宋体" w:eastAsia="宋体" w:cs="宋体"/>
          <w:bCs w:val="0"/>
          <w:color w:val="000000"/>
          <w:kern w:val="0"/>
          <w:sz w:val="28"/>
          <w:szCs w:val="28"/>
          <w:lang w:val="en-US" w:eastAsia="zh-CN" w:bidi="ar"/>
        </w:rPr>
        <w:t>纸质藏书182万册，电子图书127.02万册，中外文数据库94种，共3837种中外文期刊</w:t>
      </w:r>
      <w:r>
        <w:rPr>
          <w:rFonts w:hint="eastAsia" w:ascii="宋体" w:hAnsi="宋体" w:eastAsia="宋体" w:cs="宋体"/>
          <w:color w:val="000000"/>
          <w:kern w:val="0"/>
          <w:sz w:val="28"/>
          <w:szCs w:val="28"/>
          <w:lang w:val="en-US" w:eastAsia="zh-CN" w:bidi="ar"/>
        </w:rPr>
        <w:t>，满足高水平研究需求</w:t>
      </w:r>
      <w:bookmarkStart w:id="3" w:name="_GoBack"/>
      <w:bookmarkEnd w:id="3"/>
      <w:r>
        <w:rPr>
          <w:rFonts w:hint="eastAsia" w:ascii="宋体" w:hAnsi="宋体" w:eastAsia="宋体" w:cs="宋体"/>
          <w:color w:val="000000"/>
          <w:kern w:val="0"/>
          <w:sz w:val="28"/>
          <w:szCs w:val="28"/>
          <w:lang w:val="en-US" w:eastAsia="zh-CN" w:bidi="ar"/>
        </w:rPr>
        <w:t>。</w:t>
      </w:r>
    </w:p>
    <w:p w14:paraId="5BC2FA0E">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1.1.4科学研究实现量质双提升</w:t>
      </w:r>
    </w:p>
    <w:p w14:paraId="0FF2F77D">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项目立项：</w:t>
      </w:r>
      <w:r>
        <w:rPr>
          <w:rFonts w:hint="eastAsia" w:ascii="宋体" w:hAnsi="宋体" w:eastAsia="宋体" w:cs="宋体"/>
          <w:color w:val="000000"/>
          <w:kern w:val="0"/>
          <w:sz w:val="28"/>
          <w:szCs w:val="28"/>
          <w:lang w:val="en-US" w:eastAsia="zh-CN" w:bidi="ar"/>
        </w:rPr>
        <w:t>2020年获批国家级项目15项（含国家重点研发计划子课题3项），纵向课题总经费达2049.6万元，横向课题经费1162.63万元，产学研合作深化；</w:t>
      </w:r>
      <w:r>
        <w:rPr>
          <w:rFonts w:hint="eastAsia" w:ascii="宋体" w:hAnsi="宋体" w:eastAsia="宋体" w:cs="宋体"/>
          <w:b/>
          <w:bCs/>
          <w:color w:val="000000"/>
          <w:kern w:val="0"/>
          <w:sz w:val="28"/>
          <w:szCs w:val="28"/>
          <w:lang w:val="en-US" w:eastAsia="zh-CN" w:bidi="ar"/>
        </w:rPr>
        <w:t>成果产出：</w:t>
      </w:r>
      <w:r>
        <w:rPr>
          <w:rFonts w:hint="eastAsia" w:ascii="宋体" w:hAnsi="宋体" w:eastAsia="宋体" w:cs="宋体"/>
          <w:color w:val="000000"/>
          <w:kern w:val="0"/>
          <w:sz w:val="28"/>
          <w:szCs w:val="28"/>
          <w:lang w:val="en-US" w:eastAsia="zh-CN" w:bidi="ar"/>
        </w:rPr>
        <w:t>获各类科研奖励25项；以第一作者或通讯作者发表中文核心、SCI论文199篇；主编、副主编著作157部；</w:t>
      </w:r>
      <w:r>
        <w:rPr>
          <w:rFonts w:hint="eastAsia" w:ascii="宋体" w:hAnsi="宋体" w:eastAsia="宋体" w:cs="宋体"/>
          <w:b/>
          <w:bCs/>
          <w:color w:val="000000"/>
          <w:kern w:val="0"/>
          <w:sz w:val="28"/>
          <w:szCs w:val="28"/>
          <w:lang w:val="en-US" w:eastAsia="zh-CN" w:bidi="ar"/>
        </w:rPr>
        <w:t>知识产权：</w:t>
      </w:r>
      <w:r>
        <w:rPr>
          <w:rFonts w:hint="eastAsia" w:ascii="宋体" w:hAnsi="宋体" w:eastAsia="宋体" w:cs="宋体"/>
          <w:color w:val="000000"/>
          <w:kern w:val="0"/>
          <w:sz w:val="28"/>
          <w:szCs w:val="28"/>
          <w:lang w:val="en-US" w:eastAsia="zh-CN" w:bidi="ar"/>
        </w:rPr>
        <w:t>各类型专利、软件著作权133项，转化总经费50万元。</w:t>
      </w:r>
    </w:p>
    <w:p w14:paraId="6B3DC0D1">
      <w:pPr>
        <w:keepNext w:val="0"/>
        <w:keepLines w:val="0"/>
        <w:widowControl/>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1.1.5研究生培养质量显著提高</w:t>
      </w:r>
    </w:p>
    <w:p w14:paraId="51F9BF3A">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建设期内授予医学硕士学位199人，2020年通过优化招生结构，吸引校内外优秀考生52人报名，最终录取10人，录取率19.23%，生源质量显著提升。</w:t>
      </w:r>
    </w:p>
    <w:p w14:paraId="4C94740F">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1.1.6社会服务与辐射效应显现</w:t>
      </w:r>
    </w:p>
    <w:p w14:paraId="5317B668">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（1）科技服务生命健康：</w:t>
      </w:r>
      <w:r>
        <w:rPr>
          <w:rFonts w:hint="eastAsia" w:ascii="宋体" w:hAnsi="宋体" w:eastAsia="宋体" w:cs="宋体"/>
          <w:color w:val="000000"/>
          <w:kern w:val="0"/>
          <w:sz w:val="28"/>
          <w:szCs w:val="28"/>
          <w:lang w:val="en-US" w:eastAsia="zh-CN" w:bidi="ar"/>
        </w:rPr>
        <w:t>依托国家级平台和省级实验室，推动中医药现代化研究，牵头制定了多项行业指南与标准，规范了中医优势病种治疗，</w:t>
      </w:r>
      <w:r>
        <w:rPr>
          <w:rFonts w:hint="eastAsia" w:asciiTheme="minorEastAsia" w:hAnsiTheme="minorEastAsia" w:eastAsiaTheme="minorEastAsia" w:cstheme="minorEastAsia"/>
          <w:sz w:val="28"/>
          <w:szCs w:val="28"/>
          <w:highlight w:val="none"/>
          <w:lang w:val="en-US" w:eastAsia="zh-CN"/>
        </w:rPr>
        <w:t>有力推动了相关疾病诊疗水平的提高和学术发展</w:t>
      </w:r>
      <w:r>
        <w:rPr>
          <w:rFonts w:hint="eastAsia" w:ascii="宋体" w:hAnsi="宋体" w:eastAsia="宋体" w:cs="宋体"/>
          <w:color w:val="000000"/>
          <w:kern w:val="0"/>
          <w:sz w:val="28"/>
          <w:szCs w:val="28"/>
          <w:lang w:val="en-US" w:eastAsia="zh-CN" w:bidi="ar"/>
        </w:rPr>
        <w:t>；积极转化中药制剂成果，提升临床疗效和患者生活质量。</w:t>
      </w:r>
    </w:p>
    <w:p w14:paraId="435BFD0B">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（2）经济发展贡献突出：</w:t>
      </w:r>
      <w:r>
        <w:rPr>
          <w:rFonts w:hint="eastAsia" w:ascii="宋体" w:hAnsi="宋体" w:eastAsia="宋体" w:cs="宋体"/>
          <w:color w:val="000000"/>
          <w:kern w:val="0"/>
          <w:sz w:val="28"/>
          <w:szCs w:val="28"/>
          <w:lang w:val="en-US" w:eastAsia="zh-CN" w:bidi="ar"/>
        </w:rPr>
        <w:t>培养高素质中医药人才，推动产学研结合，助力中医药产业发展；组建医疗集团，通过专家支援、基层医院建设，降低转诊率并节约医保资金上亿元；疫情期间，中医药全程参与防治，研制预防方剂及诊疗方案，提升治愈率，彰显中医优势。</w:t>
      </w:r>
    </w:p>
    <w:p w14:paraId="435302B7">
      <w:pPr>
        <w:keepNext w:val="0"/>
        <w:keepLines w:val="0"/>
        <w:widowControl/>
        <w:suppressLineNumbers w:val="0"/>
        <w:spacing w:line="240" w:lineRule="auto"/>
        <w:ind w:firstLine="562" w:firstLineChars="200"/>
        <w:jc w:val="left"/>
      </w:pPr>
      <w:r>
        <w:rPr>
          <w:rFonts w:hint="eastAsia" w:ascii="宋体" w:hAnsi="宋体" w:eastAsia="宋体" w:cs="宋体"/>
          <w:b/>
          <w:bCs/>
          <w:color w:val="000000"/>
          <w:kern w:val="0"/>
          <w:sz w:val="28"/>
          <w:szCs w:val="28"/>
          <w:lang w:val="en-US" w:eastAsia="zh-CN" w:bidi="ar"/>
        </w:rPr>
        <w:t>（3）文化传承创新并举：</w:t>
      </w:r>
      <w:r>
        <w:rPr>
          <w:rFonts w:hint="eastAsia" w:ascii="宋体" w:hAnsi="宋体" w:eastAsia="宋体" w:cs="宋体"/>
          <w:color w:val="000000"/>
          <w:kern w:val="0"/>
          <w:sz w:val="28"/>
          <w:szCs w:val="28"/>
          <w:lang w:val="en-US" w:eastAsia="zh-CN" w:bidi="ar"/>
        </w:rPr>
        <w:t>打造仲景文化品牌，依托中医药文化基地接待7万余人，获批国家级文化传承基地，举办文化节并推动国际交流（如美国中医孔子学院、中马中医药中心）；</w:t>
      </w:r>
      <w:r>
        <w:rPr>
          <w:rFonts w:hint="eastAsia" w:ascii="宋体" w:hAnsi="宋体" w:eastAsia="宋体" w:cs="宋体"/>
          <w:color w:val="auto"/>
          <w:kern w:val="0"/>
          <w:sz w:val="28"/>
          <w:szCs w:val="28"/>
          <w:lang w:val="en-US" w:eastAsia="zh-CN" w:bidi="ar"/>
        </w:rPr>
        <w:t>持续开展“百进社区”义诊、中医药文化进校园等活动，累计开展志愿服务活动 500 余次，志愿服务时长2万余小时。为服务地方发展、助力脱贫攻坚、促进乡村振兴做出了积极贡献。</w:t>
      </w:r>
    </w:p>
    <w:p w14:paraId="4BCEE4FD">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1.2问题分析</w:t>
      </w:r>
    </w:p>
    <w:p w14:paraId="543A7610">
      <w:pPr>
        <w:keepNext w:val="0"/>
        <w:keepLines w:val="0"/>
        <w:widowControl/>
        <w:suppressLineNumbers w:val="0"/>
        <w:spacing w:line="240" w:lineRule="auto"/>
        <w:ind w:left="559" w:leftChars="266" w:firstLine="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1.2.1学科发展与研究方向</w:t>
      </w:r>
    </w:p>
    <w:p w14:paraId="4BAE7B54">
      <w:pPr>
        <w:keepNext w:val="0"/>
        <w:keepLines w:val="0"/>
        <w:widowControl/>
        <w:suppressLineNumbers w:val="0"/>
        <w:spacing w:line="240" w:lineRule="auto"/>
        <w:ind w:left="559" w:leftChars="266" w:firstLine="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w:t>
      </w:r>
      <w:r>
        <w:rPr>
          <w:rFonts w:hint="default" w:ascii="宋体" w:hAnsi="宋体" w:eastAsia="宋体" w:cs="宋体"/>
          <w:b/>
          <w:bCs/>
          <w:color w:val="000000"/>
          <w:kern w:val="0"/>
          <w:sz w:val="28"/>
          <w:szCs w:val="28"/>
          <w:lang w:val="en-US" w:eastAsia="zh-CN" w:bidi="ar"/>
        </w:rPr>
        <w:t>学科方向分布不均</w:t>
      </w:r>
    </w:p>
    <w:p w14:paraId="4B8BCC3D">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学位点</w:t>
      </w:r>
      <w:r>
        <w:rPr>
          <w:rFonts w:hint="default" w:ascii="宋体" w:hAnsi="宋体" w:eastAsia="宋体" w:cs="宋体"/>
          <w:color w:val="000000"/>
          <w:kern w:val="0"/>
          <w:sz w:val="28"/>
          <w:szCs w:val="28"/>
          <w:lang w:val="en-US" w:eastAsia="zh-CN" w:bidi="ar"/>
        </w:rPr>
        <w:t>虽然呼吸疾病、儿科疾病、感染疾病</w:t>
      </w:r>
      <w:r>
        <w:rPr>
          <w:rFonts w:hint="eastAsia" w:ascii="宋体" w:hAnsi="宋体" w:eastAsia="宋体" w:cs="宋体"/>
          <w:color w:val="000000"/>
          <w:kern w:val="0"/>
          <w:sz w:val="28"/>
          <w:szCs w:val="28"/>
          <w:lang w:val="en-US" w:eastAsia="zh-CN" w:bidi="ar"/>
        </w:rPr>
        <w:t>等</w:t>
      </w:r>
      <w:r>
        <w:rPr>
          <w:rFonts w:hint="default" w:ascii="宋体" w:hAnsi="宋体" w:eastAsia="宋体" w:cs="宋体"/>
          <w:color w:val="000000"/>
          <w:kern w:val="0"/>
          <w:sz w:val="28"/>
          <w:szCs w:val="28"/>
          <w:lang w:val="en-US" w:eastAsia="zh-CN" w:bidi="ar"/>
        </w:rPr>
        <w:t>方向居国内前列，但其他学科方向的发展相对滞后，学科布局不够均衡，未能充分发挥多学科协同创新的潜力。</w:t>
      </w:r>
    </w:p>
    <w:p w14:paraId="6D26E0C7">
      <w:pPr>
        <w:keepNext w:val="0"/>
        <w:keepLines w:val="0"/>
        <w:widowControl/>
        <w:suppressLineNumbers w:val="0"/>
        <w:spacing w:line="240" w:lineRule="auto"/>
        <w:ind w:left="559" w:leftChars="266" w:firstLine="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w:t>
      </w:r>
      <w:r>
        <w:rPr>
          <w:rFonts w:hint="default" w:ascii="宋体" w:hAnsi="宋体" w:eastAsia="宋体" w:cs="宋体"/>
          <w:b/>
          <w:bCs/>
          <w:color w:val="000000"/>
          <w:kern w:val="0"/>
          <w:sz w:val="28"/>
          <w:szCs w:val="28"/>
          <w:lang w:val="en-US" w:eastAsia="zh-CN" w:bidi="ar"/>
        </w:rPr>
        <w:t>学科交叉融合不足</w:t>
      </w:r>
    </w:p>
    <w:p w14:paraId="5CC43FE9">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default" w:ascii="宋体" w:hAnsi="宋体" w:eastAsia="宋体" w:cs="宋体"/>
          <w:color w:val="000000"/>
          <w:kern w:val="0"/>
          <w:sz w:val="28"/>
          <w:szCs w:val="28"/>
          <w:lang w:val="en-US" w:eastAsia="zh-CN" w:bidi="ar"/>
        </w:rPr>
        <w:t>导师团队的专业背景主要集中在传统中医药领域，与其他学科（如生物医学、人工智能等）的交叉融合不足，未能充分发挥多学科协同创新的优势。</w:t>
      </w:r>
    </w:p>
    <w:p w14:paraId="0611DEB6">
      <w:pPr>
        <w:keepNext w:val="0"/>
        <w:keepLines w:val="0"/>
        <w:widowControl/>
        <w:suppressLineNumbers w:val="0"/>
        <w:spacing w:line="240" w:lineRule="auto"/>
        <w:ind w:left="559" w:leftChars="266" w:firstLine="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1.2.2师资队伍建设方面</w:t>
      </w:r>
    </w:p>
    <w:p w14:paraId="7A365DFF">
      <w:pPr>
        <w:keepNext w:val="0"/>
        <w:keepLines w:val="0"/>
        <w:widowControl/>
        <w:suppressLineNumbers w:val="0"/>
        <w:spacing w:line="240" w:lineRule="auto"/>
        <w:ind w:left="559" w:leftChars="266" w:firstLine="0" w:firstLineChars="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w:t>
      </w:r>
      <w:r>
        <w:rPr>
          <w:rFonts w:hint="default" w:ascii="宋体" w:hAnsi="宋体" w:eastAsia="宋体" w:cs="宋体"/>
          <w:b/>
          <w:bCs/>
          <w:color w:val="000000"/>
          <w:kern w:val="0"/>
          <w:sz w:val="28"/>
          <w:szCs w:val="28"/>
          <w:lang w:val="en-US" w:eastAsia="zh-CN" w:bidi="ar"/>
        </w:rPr>
        <w:t>高层次人才引进不足</w:t>
      </w:r>
    </w:p>
    <w:p w14:paraId="4579DA40">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default" w:ascii="宋体" w:hAnsi="宋体" w:eastAsia="宋体" w:cs="宋体"/>
          <w:color w:val="000000"/>
          <w:kern w:val="0"/>
          <w:sz w:val="28"/>
          <w:szCs w:val="28"/>
          <w:lang w:val="en-US" w:eastAsia="zh-CN" w:bidi="ar"/>
        </w:rPr>
        <w:t>尽管导师团队中正高级职称和博士学位比例较高，但具有国际学术背景的高层次人才数量较少，特别是在新兴交叉学科领域的领军人才匮乏，限制了学科的创新能力和国际影响力。</w:t>
      </w:r>
    </w:p>
    <w:p w14:paraId="2353B3E7">
      <w:pPr>
        <w:keepNext w:val="0"/>
        <w:keepLines w:val="0"/>
        <w:widowControl/>
        <w:suppressLineNumbers w:val="0"/>
        <w:spacing w:line="240" w:lineRule="auto"/>
        <w:ind w:firstLine="562" w:firstLineChars="200"/>
        <w:jc w:val="left"/>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（2）青年教师发展压力较大</w:t>
      </w:r>
    </w:p>
    <w:p w14:paraId="35310723">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青年教师（50岁以下占 64%）数量虽多，但正高级职称占比仅50%，职业晋升通道可能存在瓶颈。同时，青年教师在科研资源获取、项目申报等方面竞争力相对较弱。</w:t>
      </w:r>
    </w:p>
    <w:p w14:paraId="72720789">
      <w:pPr>
        <w:keepNext w:val="0"/>
        <w:keepLines w:val="0"/>
        <w:widowControl/>
        <w:suppressLineNumbers w:val="0"/>
        <w:spacing w:line="240" w:lineRule="auto"/>
        <w:ind w:firstLine="562" w:firstLineChars="200"/>
        <w:jc w:val="left"/>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1.2.3教学科研支撑方面</w:t>
      </w:r>
    </w:p>
    <w:p w14:paraId="362A6670">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（1）国家级平台分布不均</w:t>
      </w:r>
    </w:p>
    <w:p w14:paraId="7DCE0B4E">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学位点拥有多个国家级和省部级平台，但这些平台主要集中在中医药领域，其他相关学科或交叉学科的国家级平台相对较少。这种分布不均限制了学科发展的广度和深度平台之间的协同合作机制可能不够完善，导致资源分散，无法形成合力。</w:t>
      </w:r>
    </w:p>
    <w:p w14:paraId="37861095">
      <w:pPr>
        <w:keepNext w:val="0"/>
        <w:keepLines w:val="0"/>
        <w:widowControl/>
        <w:suppressLineNumbers w:val="0"/>
        <w:spacing w:line="240" w:lineRule="auto"/>
        <w:ind w:firstLine="562"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（2）国际化水平有待提升</w:t>
      </w:r>
    </w:p>
    <w:p w14:paraId="6B6502B0">
      <w:pPr>
        <w:keepNext w:val="0"/>
        <w:keepLines w:val="0"/>
        <w:widowControl/>
        <w:suppressLineNumbers w:val="0"/>
        <w:spacing w:line="240" w:lineRule="auto"/>
        <w:ind w:firstLine="560" w:firstLineChars="200"/>
        <w:jc w:val="left"/>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尽管学位点拥有国家中医临床研究基地和省部共建协同创新中心等平台，但与其他国际高水平研究机构的合作深度和广度仍需加强国际科研合作项目和联合培养人才的规模较小，影响了学位点在国际上的知名度和影响力。</w:t>
      </w:r>
    </w:p>
    <w:p w14:paraId="0C783141">
      <w:pPr>
        <w:ind w:firstLine="562" w:firstLineChars="200"/>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1.2.4科研成果方面</w:t>
      </w:r>
    </w:p>
    <w:p w14:paraId="472E43DC">
      <w:pPr>
        <w:keepNext w:val="0"/>
        <w:keepLines w:val="0"/>
        <w:widowControl/>
        <w:suppressLineNumbers w:val="0"/>
        <w:spacing w:line="240" w:lineRule="auto"/>
        <w:ind w:firstLine="562" w:firstLineChars="200"/>
        <w:jc w:val="both"/>
        <w:rPr>
          <w:rFonts w:hint="default" w:ascii="宋体" w:hAnsi="宋体" w:eastAsia="宋体" w:cs="宋体"/>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（1）</w:t>
      </w:r>
      <w:r>
        <w:rPr>
          <w:rFonts w:hint="default" w:ascii="宋体" w:hAnsi="宋体" w:eastAsia="宋体" w:cs="宋体"/>
          <w:b/>
          <w:bCs/>
          <w:color w:val="000000"/>
          <w:kern w:val="0"/>
          <w:sz w:val="28"/>
          <w:szCs w:val="28"/>
          <w:lang w:val="en-US" w:eastAsia="zh-CN" w:bidi="ar"/>
        </w:rPr>
        <w:t>科研项目层次与结构失衡</w:t>
      </w:r>
    </w:p>
    <w:p w14:paraId="1EF6C300">
      <w:pPr>
        <w:keepNext w:val="0"/>
        <w:keepLines w:val="0"/>
        <w:widowControl/>
        <w:suppressLineNumbers w:val="0"/>
        <w:spacing w:line="240" w:lineRule="auto"/>
        <w:ind w:firstLine="560" w:firstLineChars="200"/>
        <w:jc w:val="both"/>
        <w:rPr>
          <w:rFonts w:hint="default" w:ascii="宋体" w:hAnsi="宋体" w:eastAsia="宋体" w:cs="宋体"/>
          <w:color w:val="000000"/>
          <w:kern w:val="0"/>
          <w:sz w:val="28"/>
          <w:szCs w:val="28"/>
          <w:lang w:val="en-US" w:eastAsia="zh-CN" w:bidi="ar"/>
        </w:rPr>
      </w:pPr>
      <w:r>
        <w:rPr>
          <w:rFonts w:hint="default" w:ascii="宋体" w:hAnsi="宋体" w:eastAsia="宋体" w:cs="宋体"/>
          <w:color w:val="000000"/>
          <w:kern w:val="0"/>
          <w:sz w:val="28"/>
          <w:szCs w:val="28"/>
          <w:lang w:val="en-US" w:eastAsia="zh-CN" w:bidi="ar"/>
        </w:rPr>
        <w:t>2020年获批纵向课题288项，其中国家级项目仅15项（占比 5.2%），表明在高水平科研项目竞争中实力不足，缺乏国家级重大项目的引领。横向课题经费1162.63万元，虽高于部分同类学科，但与纵向经费（2049.6万元）相比仍有差距，产学研合作深度不足，科研与产业需求对接不紧密。</w:t>
      </w:r>
    </w:p>
    <w:p w14:paraId="7BAB7C95">
      <w:pPr>
        <w:ind w:firstLine="562" w:firstLineChars="200"/>
        <w:rPr>
          <w:rFonts w:hint="default"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（2）科研</w:t>
      </w:r>
      <w:r>
        <w:rPr>
          <w:rFonts w:hint="default" w:ascii="宋体" w:hAnsi="宋体" w:eastAsia="宋体" w:cs="宋体"/>
          <w:b/>
          <w:bCs/>
          <w:color w:val="000000"/>
          <w:kern w:val="0"/>
          <w:sz w:val="28"/>
          <w:szCs w:val="28"/>
          <w:lang w:val="en-US" w:eastAsia="zh-CN" w:bidi="ar"/>
        </w:rPr>
        <w:t>成果转化效能偏</w:t>
      </w:r>
      <w:r>
        <w:rPr>
          <w:rFonts w:hint="eastAsia" w:ascii="宋体" w:hAnsi="宋体" w:eastAsia="宋体" w:cs="宋体"/>
          <w:b/>
          <w:bCs/>
          <w:color w:val="000000"/>
          <w:kern w:val="0"/>
          <w:sz w:val="28"/>
          <w:szCs w:val="28"/>
          <w:lang w:val="en-US" w:eastAsia="zh-CN" w:bidi="ar"/>
        </w:rPr>
        <w:t>低</w:t>
      </w:r>
    </w:p>
    <w:p w14:paraId="7E5E112C">
      <w:pPr>
        <w:keepNext w:val="0"/>
        <w:keepLines w:val="0"/>
        <w:widowControl/>
        <w:suppressLineNumbers w:val="0"/>
        <w:spacing w:line="240" w:lineRule="auto"/>
        <w:ind w:firstLine="560" w:firstLineChars="200"/>
        <w:jc w:val="both"/>
        <w:rPr>
          <w:rFonts w:hint="default" w:ascii="宋体" w:hAnsi="宋体" w:eastAsia="宋体" w:cs="宋体"/>
          <w:color w:val="000000"/>
          <w:kern w:val="0"/>
          <w:sz w:val="28"/>
          <w:szCs w:val="28"/>
          <w:lang w:val="en-US" w:eastAsia="zh-CN" w:bidi="ar"/>
        </w:rPr>
      </w:pPr>
      <w:r>
        <w:rPr>
          <w:rFonts w:hint="default" w:ascii="宋体" w:hAnsi="宋体" w:eastAsia="宋体" w:cs="宋体"/>
          <w:color w:val="000000"/>
          <w:kern w:val="0"/>
          <w:sz w:val="28"/>
          <w:szCs w:val="28"/>
          <w:lang w:val="en-US" w:eastAsia="zh-CN" w:bidi="ar"/>
        </w:rPr>
        <w:t>专利及软件著作权133项，但转化总经费仅50万元，转化率不足1%，反映出成果转化渠道不畅、激励机制不健全，中医药技术的市场价值未充分挖掘。</w:t>
      </w:r>
    </w:p>
    <w:p w14:paraId="7A0BD93A">
      <w:pPr>
        <w:pStyle w:val="4"/>
        <w:ind w:firstLine="562" w:firstLineChars="200"/>
      </w:pPr>
      <w:r>
        <w:rPr>
          <w:rFonts w:hint="eastAsia" w:ascii="宋体" w:hAnsi="宋体" w:eastAsia="宋体" w:cs="仿宋"/>
          <w:b/>
          <w:bCs w:val="0"/>
          <w:sz w:val="28"/>
          <w:szCs w:val="28"/>
          <w:lang w:val="en-US" w:eastAsia="zh-CN"/>
        </w:rPr>
        <w:t>（二）学位论文情况及问题分析</w:t>
      </w:r>
    </w:p>
    <w:p w14:paraId="550F46DE">
      <w:pPr>
        <w:pStyle w:val="8"/>
        <w:keepNext w:val="0"/>
        <w:keepLines w:val="0"/>
        <w:widowControl/>
        <w:suppressLineNumbers w:val="0"/>
        <w:spacing w:before="0" w:beforeAutospacing="0" w:after="0" w:afterAutospacing="0"/>
        <w:ind w:right="0" w:firstLine="562" w:firstLineChars="200"/>
        <w:rPr>
          <w:rFonts w:hint="eastAsia" w:ascii="宋体" w:hAnsi="宋体" w:eastAsia="宋体" w:cs="宋体"/>
          <w:b/>
          <w:bCs/>
          <w:color w:val="000000"/>
          <w:kern w:val="0"/>
          <w:sz w:val="28"/>
          <w:szCs w:val="28"/>
          <w:lang w:val="en-US" w:eastAsia="zh-CN" w:bidi="ar"/>
        </w:rPr>
      </w:pPr>
      <w:r>
        <w:rPr>
          <w:rFonts w:hint="eastAsia" w:ascii="宋体" w:hAnsi="宋体" w:eastAsia="宋体" w:cs="宋体"/>
          <w:b/>
          <w:bCs/>
          <w:color w:val="000000"/>
          <w:kern w:val="0"/>
          <w:sz w:val="28"/>
          <w:szCs w:val="28"/>
          <w:lang w:val="en-US" w:eastAsia="zh-CN" w:bidi="ar"/>
        </w:rPr>
        <w:t>2.1学位论文情况</w:t>
      </w:r>
    </w:p>
    <w:p w14:paraId="41364FB2">
      <w:pPr>
        <w:pStyle w:val="8"/>
        <w:keepNext w:val="0"/>
        <w:keepLines w:val="0"/>
        <w:widowControl/>
        <w:suppressLineNumbers w:val="0"/>
        <w:spacing w:before="0" w:beforeAutospacing="0" w:after="0" w:afterAutospacing="0"/>
        <w:ind w:right="0" w:firstLine="560" w:firstLineChars="200"/>
        <w:rPr>
          <w:rFonts w:hint="eastAsia" w:ascii="宋体" w:hAnsi="宋体" w:eastAsia="宋体" w:cs="宋体"/>
          <w:color w:val="000000"/>
          <w:kern w:val="0"/>
          <w:sz w:val="28"/>
          <w:szCs w:val="28"/>
          <w:lang w:val="en-US" w:eastAsia="zh-CN" w:bidi="ar"/>
        </w:rPr>
      </w:pPr>
      <w:r>
        <w:rPr>
          <w:rFonts w:hint="eastAsia" w:ascii="宋体" w:hAnsi="宋体" w:eastAsia="宋体" w:cs="宋体"/>
          <w:color w:val="000000"/>
          <w:kern w:val="0"/>
          <w:sz w:val="28"/>
          <w:szCs w:val="28"/>
          <w:lang w:val="en-US" w:eastAsia="zh-CN" w:bidi="ar"/>
        </w:rPr>
        <w:t>学位点严格遵循《河南中医药大学研究生学位论文匿名评审办法（试行）》等文件，构建了覆盖 “原始材料审查-预答辩把关-双盲外审-查重检测”的全流程质量监控体系和“全过程原始记录审核归档制”。通过原始材料审查确保科研数据真实性，组织专家预答辩提前筛查论文质量，采用双盲外审保障评审客观性，并通过学校统一查重杜绝学术不端行为，形成了闭环式质量保障机制。2020年研究生学位论文全部通过外审，河南省省级抽检通过率达 100%，体现了论文质量的稳定性。研究生全员参与导师科研课题，学位论文均来源于导师科研项目，为论文的科学性和实用性奠定了基础。此外，建设期间获得河南省优秀硕博毕业论文2篇，表明在论文质量提升方面取得了一定成效。</w:t>
      </w:r>
    </w:p>
    <w:p w14:paraId="1D9FC917">
      <w:pPr>
        <w:spacing w:line="360" w:lineRule="auto"/>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仿宋"/>
          <w:b/>
          <w:bCs/>
          <w:sz w:val="28"/>
          <w:szCs w:val="28"/>
          <w:lang w:val="en-US" w:eastAsia="zh-CN"/>
        </w:rPr>
        <w:t>2.2学位论文问题分析</w:t>
      </w:r>
    </w:p>
    <w:p w14:paraId="4FF097C1">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2.2.1优秀论文培育机制不健全</w:t>
      </w:r>
    </w:p>
    <w:p w14:paraId="217F9E87">
      <w:pPr>
        <w:ind w:firstLine="560"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Cs/>
          <w:color w:val="000000"/>
          <w:kern w:val="0"/>
          <w:sz w:val="28"/>
          <w:szCs w:val="28"/>
          <w:lang w:val="en-US" w:eastAsia="zh-CN" w:bidi="ar"/>
        </w:rPr>
        <w:t>2020年仅获2篇河南省优秀硕博毕业论文，数量偏少，反映出在高水平论文培育方面缺乏系统性措施。尚未建立针对高潜力论文的个性化指导机制，对研究生创新能力的培养和学术成果的引导不足，导致优秀论文的产出能力受限。</w:t>
      </w:r>
    </w:p>
    <w:p w14:paraId="72498087">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2.2.2学位论文</w:t>
      </w:r>
      <w:r>
        <w:rPr>
          <w:rFonts w:hint="default" w:ascii="宋体" w:hAnsi="宋体" w:eastAsia="宋体" w:cs="宋体"/>
          <w:b/>
          <w:bCs w:val="0"/>
          <w:color w:val="000000"/>
          <w:kern w:val="0"/>
          <w:sz w:val="28"/>
          <w:szCs w:val="28"/>
          <w:lang w:val="en-US" w:eastAsia="zh-CN" w:bidi="ar"/>
        </w:rPr>
        <w:t>跨学科研究不足</w:t>
      </w:r>
    </w:p>
    <w:p w14:paraId="1A50E167">
      <w:pPr>
        <w:ind w:firstLine="560" w:firstLineChars="200"/>
        <w:rPr>
          <w:rFonts w:hint="eastAsia"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学位论文的研究内容可能主要集中在传统中医药领域，与其他学科（如生物医学、人工智能等）的交叉融合不足，限制了论文的创新性和学术影响力</w:t>
      </w:r>
      <w:r>
        <w:rPr>
          <w:rFonts w:hint="eastAsia" w:ascii="宋体" w:hAnsi="宋体" w:eastAsia="宋体" w:cs="宋体"/>
          <w:bCs/>
          <w:color w:val="000000"/>
          <w:kern w:val="0"/>
          <w:sz w:val="28"/>
          <w:szCs w:val="28"/>
          <w:lang w:val="en-US" w:eastAsia="zh-CN" w:bidi="ar"/>
        </w:rPr>
        <w:t xml:space="preserve">。      </w:t>
      </w:r>
    </w:p>
    <w:p w14:paraId="159EBE7E">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仿宋"/>
          <w:b/>
          <w:bCs/>
          <w:sz w:val="28"/>
          <w:szCs w:val="28"/>
        </w:rPr>
        <w:t>（三）改进建议</w:t>
      </w:r>
    </w:p>
    <w:p w14:paraId="1224C1E7">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3.1学科发展与研究方向</w:t>
      </w:r>
    </w:p>
    <w:p w14:paraId="76BF44E6">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3.1.1优化学科方向布局</w:t>
      </w:r>
    </w:p>
    <w:p w14:paraId="4474D574">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加强薄弱学科建设：</w:t>
      </w:r>
      <w:r>
        <w:rPr>
          <w:rFonts w:hint="eastAsia" w:ascii="宋体" w:hAnsi="宋体" w:eastAsia="宋体" w:cs="宋体"/>
          <w:bCs/>
          <w:color w:val="000000"/>
          <w:kern w:val="0"/>
          <w:sz w:val="28"/>
          <w:szCs w:val="28"/>
          <w:lang w:val="en-US" w:eastAsia="zh-CN" w:bidi="ar"/>
        </w:rPr>
        <w:t>制定专项计划，加大对其他学科方向的投入和支持，支持薄弱学科方向的科研项目和人才培养，提升学科布局的均衡性。</w:t>
      </w:r>
      <w:r>
        <w:rPr>
          <w:rFonts w:hint="eastAsia" w:ascii="宋体" w:hAnsi="宋体" w:eastAsia="宋体" w:cs="宋体"/>
          <w:b/>
          <w:bCs w:val="0"/>
          <w:color w:val="000000"/>
          <w:kern w:val="0"/>
          <w:sz w:val="28"/>
          <w:szCs w:val="28"/>
          <w:lang w:val="en-US" w:eastAsia="zh-CN" w:bidi="ar"/>
        </w:rPr>
        <w:t>促进多学科协同创新：</w:t>
      </w:r>
      <w:r>
        <w:rPr>
          <w:rFonts w:hint="eastAsia" w:ascii="宋体" w:hAnsi="宋体" w:eastAsia="宋体" w:cs="宋体"/>
          <w:bCs/>
          <w:color w:val="000000"/>
          <w:kern w:val="0"/>
          <w:sz w:val="28"/>
          <w:szCs w:val="28"/>
          <w:lang w:val="en-US" w:eastAsia="zh-CN" w:bidi="ar"/>
        </w:rPr>
        <w:t>建立跨学科研究平台，鼓励不同学科方向的导师团队开展合作研究。</w:t>
      </w:r>
    </w:p>
    <w:p w14:paraId="5C7697DA">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3.1.2促进学科交叉融合</w:t>
      </w:r>
    </w:p>
    <w:p w14:paraId="4B928063">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引进跨学科人才：</w:t>
      </w:r>
      <w:r>
        <w:rPr>
          <w:rFonts w:hint="eastAsia" w:ascii="宋体" w:hAnsi="宋体" w:eastAsia="宋体" w:cs="宋体"/>
          <w:bCs/>
          <w:color w:val="000000"/>
          <w:kern w:val="0"/>
          <w:sz w:val="28"/>
          <w:szCs w:val="28"/>
          <w:lang w:val="en-US" w:eastAsia="zh-CN" w:bidi="ar"/>
        </w:rPr>
        <w:t>在导师团队中增加具有生物医学、人工智能等跨学科背景的高层次人才。</w:t>
      </w:r>
      <w:r>
        <w:rPr>
          <w:rFonts w:hint="eastAsia" w:ascii="宋体" w:hAnsi="宋体" w:eastAsia="宋体" w:cs="宋体"/>
          <w:b/>
          <w:bCs w:val="0"/>
          <w:color w:val="000000"/>
          <w:kern w:val="0"/>
          <w:sz w:val="28"/>
          <w:szCs w:val="28"/>
          <w:lang w:val="en-US" w:eastAsia="zh-CN" w:bidi="ar"/>
        </w:rPr>
        <w:t>开展跨学科培训：</w:t>
      </w:r>
      <w:r>
        <w:rPr>
          <w:rFonts w:hint="eastAsia" w:ascii="宋体" w:hAnsi="宋体" w:eastAsia="宋体" w:cs="宋体"/>
          <w:bCs/>
          <w:color w:val="000000"/>
          <w:kern w:val="0"/>
          <w:sz w:val="28"/>
          <w:szCs w:val="28"/>
          <w:lang w:val="en-US" w:eastAsia="zh-CN" w:bidi="ar"/>
        </w:rPr>
        <w:t>定期组织跨学科培训和学术讲座，提升导师团队的跨学科知识水平和合作能力。</w:t>
      </w:r>
    </w:p>
    <w:p w14:paraId="7E1AD1C2">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3.2师资队伍建设</w:t>
      </w:r>
    </w:p>
    <w:p w14:paraId="44AA9BF6">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3.2.1</w:t>
      </w:r>
      <w:r>
        <w:rPr>
          <w:rFonts w:hint="default" w:ascii="宋体" w:hAnsi="宋体" w:eastAsia="宋体" w:cs="宋体"/>
          <w:b/>
          <w:bCs w:val="0"/>
          <w:color w:val="000000"/>
          <w:kern w:val="0"/>
          <w:sz w:val="28"/>
          <w:szCs w:val="28"/>
          <w:lang w:val="en-US" w:eastAsia="zh-CN" w:bidi="ar"/>
        </w:rPr>
        <w:t>加大高层次人才引进力度</w:t>
      </w:r>
    </w:p>
    <w:p w14:paraId="2A5EB77B">
      <w:pPr>
        <w:ind w:firstLine="560"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制定高层次人才引进专项计划，重点吸引具有国际学术背景的领军人才</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提供具有竞争力的薪酬待遇、科研启动经费和实验室资源，增强对国际顶尖人才的吸引力</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加强与国内外高水平大学和科研机构的合作，建立联合培养和人才交流机制，拓宽高层次人才引进渠道。</w:t>
      </w:r>
    </w:p>
    <w:p w14:paraId="0E25928D">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3.2.2</w:t>
      </w:r>
      <w:r>
        <w:rPr>
          <w:rFonts w:hint="default" w:ascii="宋体" w:hAnsi="宋体" w:eastAsia="宋体" w:cs="宋体"/>
          <w:b/>
          <w:bCs w:val="0"/>
          <w:color w:val="000000"/>
          <w:kern w:val="0"/>
          <w:sz w:val="28"/>
          <w:szCs w:val="28"/>
          <w:lang w:val="en-US" w:eastAsia="zh-CN" w:bidi="ar"/>
        </w:rPr>
        <w:t>支持青年教师发展</w:t>
      </w:r>
    </w:p>
    <w:p w14:paraId="589C45A4">
      <w:pPr>
        <w:ind w:firstLine="560"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设立“青年骨干教师培养基金”，支持青年教师赴国内外高水平大学进修或合作研究</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优化职业晋升通道，为青年教师提供更多的晋升机会和职业发展支持。</w:t>
      </w:r>
    </w:p>
    <w:p w14:paraId="30CD85AA">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3.3</w:t>
      </w:r>
      <w:r>
        <w:rPr>
          <w:rFonts w:hint="default" w:ascii="宋体" w:hAnsi="宋体" w:eastAsia="宋体" w:cs="宋体"/>
          <w:b/>
          <w:bCs w:val="0"/>
          <w:color w:val="000000"/>
          <w:kern w:val="0"/>
          <w:sz w:val="28"/>
          <w:szCs w:val="28"/>
          <w:lang w:val="en-US" w:eastAsia="zh-CN" w:bidi="ar"/>
        </w:rPr>
        <w:t>教学科研支撑</w:t>
      </w:r>
    </w:p>
    <w:p w14:paraId="5DF95FB1">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3.3.1</w:t>
      </w:r>
      <w:r>
        <w:rPr>
          <w:rFonts w:hint="default" w:ascii="宋体" w:hAnsi="宋体" w:eastAsia="宋体" w:cs="宋体"/>
          <w:b/>
          <w:bCs w:val="0"/>
          <w:color w:val="000000"/>
          <w:kern w:val="0"/>
          <w:sz w:val="28"/>
          <w:szCs w:val="28"/>
          <w:lang w:val="en-US" w:eastAsia="zh-CN" w:bidi="ar"/>
        </w:rPr>
        <w:t>优化国家级平台布局</w:t>
      </w:r>
    </w:p>
    <w:p w14:paraId="192E980B">
      <w:pPr>
        <w:ind w:firstLine="560"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增加在新兴交叉学科领域的国家级平台建设投入</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拓展平台建设领域</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建立平台之间的协同机制，促进资源共享和项目合作</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加强平台协同合作</w:t>
      </w:r>
      <w:r>
        <w:rPr>
          <w:rFonts w:hint="eastAsia" w:ascii="宋体" w:hAnsi="宋体" w:eastAsia="宋体" w:cs="宋体"/>
          <w:bCs/>
          <w:color w:val="000000"/>
          <w:kern w:val="0"/>
          <w:sz w:val="28"/>
          <w:szCs w:val="28"/>
          <w:lang w:val="en-US" w:eastAsia="zh-CN" w:bidi="ar"/>
        </w:rPr>
        <w:t>。</w:t>
      </w:r>
    </w:p>
    <w:p w14:paraId="456D5FB3">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3.3</w:t>
      </w:r>
      <w:r>
        <w:rPr>
          <w:rFonts w:hint="default" w:ascii="宋体" w:hAnsi="宋体" w:eastAsia="宋体" w:cs="宋体"/>
          <w:b/>
          <w:bCs w:val="0"/>
          <w:color w:val="000000"/>
          <w:kern w:val="0"/>
          <w:sz w:val="28"/>
          <w:szCs w:val="28"/>
          <w:lang w:val="en-US" w:eastAsia="zh-CN" w:bidi="ar"/>
        </w:rPr>
        <w:t>.</w:t>
      </w:r>
      <w:r>
        <w:rPr>
          <w:rFonts w:hint="eastAsia" w:ascii="宋体" w:hAnsi="宋体" w:eastAsia="宋体" w:cs="宋体"/>
          <w:b/>
          <w:bCs w:val="0"/>
          <w:color w:val="000000"/>
          <w:kern w:val="0"/>
          <w:sz w:val="28"/>
          <w:szCs w:val="28"/>
          <w:lang w:val="en-US" w:eastAsia="zh-CN" w:bidi="ar"/>
        </w:rPr>
        <w:t>2</w:t>
      </w:r>
      <w:r>
        <w:rPr>
          <w:rFonts w:hint="default" w:ascii="宋体" w:hAnsi="宋体" w:eastAsia="宋体" w:cs="宋体"/>
          <w:b/>
          <w:bCs w:val="0"/>
          <w:color w:val="000000"/>
          <w:kern w:val="0"/>
          <w:sz w:val="28"/>
          <w:szCs w:val="28"/>
          <w:lang w:val="en-US" w:eastAsia="zh-CN" w:bidi="ar"/>
        </w:rPr>
        <w:t>提升国际化水平</w:t>
      </w:r>
    </w:p>
    <w:p w14:paraId="25AAAAE2">
      <w:pPr>
        <w:ind w:firstLine="562"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
          <w:bCs w:val="0"/>
          <w:color w:val="000000"/>
          <w:kern w:val="0"/>
          <w:sz w:val="28"/>
          <w:szCs w:val="28"/>
          <w:lang w:val="en-US" w:eastAsia="zh-CN" w:bidi="ar"/>
        </w:rPr>
        <w:t>深化国际合作：</w:t>
      </w:r>
      <w:r>
        <w:rPr>
          <w:rFonts w:hint="default" w:ascii="宋体" w:hAnsi="宋体" w:eastAsia="宋体" w:cs="宋体"/>
          <w:bCs/>
          <w:color w:val="000000"/>
          <w:kern w:val="0"/>
          <w:sz w:val="28"/>
          <w:szCs w:val="28"/>
          <w:lang w:val="en-US" w:eastAsia="zh-CN" w:bidi="ar"/>
        </w:rPr>
        <w:t>加强与国际高水平研究机构的合作，签署合作协议，开展联合研究项目和人才培养计划。</w:t>
      </w:r>
      <w:r>
        <w:rPr>
          <w:rFonts w:hint="default" w:ascii="宋体" w:hAnsi="宋体" w:eastAsia="宋体" w:cs="宋体"/>
          <w:b/>
          <w:bCs w:val="0"/>
          <w:color w:val="000000"/>
          <w:kern w:val="0"/>
          <w:sz w:val="28"/>
          <w:szCs w:val="28"/>
          <w:lang w:val="en-US" w:eastAsia="zh-CN" w:bidi="ar"/>
        </w:rPr>
        <w:t>扩大国际交流规模：</w:t>
      </w:r>
      <w:r>
        <w:rPr>
          <w:rFonts w:hint="default" w:ascii="宋体" w:hAnsi="宋体" w:eastAsia="宋体" w:cs="宋体"/>
          <w:bCs/>
          <w:color w:val="000000"/>
          <w:kern w:val="0"/>
          <w:sz w:val="28"/>
          <w:szCs w:val="28"/>
          <w:lang w:val="en-US" w:eastAsia="zh-CN" w:bidi="ar"/>
        </w:rPr>
        <w:t>增加国际学术会议的举办和参与频次，</w:t>
      </w:r>
      <w:r>
        <w:rPr>
          <w:rFonts w:hint="eastAsia" w:ascii="宋体" w:hAnsi="宋体" w:eastAsia="宋体" w:cs="宋体"/>
          <w:bCs/>
          <w:color w:val="000000"/>
          <w:kern w:val="0"/>
          <w:sz w:val="28"/>
          <w:szCs w:val="28"/>
          <w:lang w:val="en-US" w:eastAsia="zh-CN" w:bidi="ar"/>
        </w:rPr>
        <w:t>加大</w:t>
      </w:r>
      <w:r>
        <w:rPr>
          <w:rFonts w:hint="default" w:ascii="宋体" w:hAnsi="宋体" w:eastAsia="宋体" w:cs="宋体"/>
          <w:bCs/>
          <w:color w:val="000000"/>
          <w:kern w:val="0"/>
          <w:sz w:val="28"/>
          <w:szCs w:val="28"/>
          <w:lang w:val="en-US" w:eastAsia="zh-CN" w:bidi="ar"/>
        </w:rPr>
        <w:t>国际学术交流专项基金</w:t>
      </w:r>
      <w:r>
        <w:rPr>
          <w:rFonts w:hint="eastAsia" w:ascii="宋体" w:hAnsi="宋体" w:eastAsia="宋体" w:cs="宋体"/>
          <w:bCs/>
          <w:color w:val="000000"/>
          <w:kern w:val="0"/>
          <w:sz w:val="28"/>
          <w:szCs w:val="28"/>
          <w:lang w:val="en-US" w:eastAsia="zh-CN" w:bidi="ar"/>
        </w:rPr>
        <w:t>资助力度</w:t>
      </w:r>
      <w:r>
        <w:rPr>
          <w:rFonts w:hint="default" w:ascii="宋体" w:hAnsi="宋体" w:eastAsia="宋体" w:cs="宋体"/>
          <w:bCs/>
          <w:color w:val="000000"/>
          <w:kern w:val="0"/>
          <w:sz w:val="28"/>
          <w:szCs w:val="28"/>
          <w:lang w:val="en-US" w:eastAsia="zh-CN" w:bidi="ar"/>
        </w:rPr>
        <w:t>，支持师生参加国际会议和学术交流活动。</w:t>
      </w:r>
    </w:p>
    <w:p w14:paraId="3C93E643">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3.4</w:t>
      </w:r>
      <w:r>
        <w:rPr>
          <w:rFonts w:hint="default" w:ascii="宋体" w:hAnsi="宋体" w:eastAsia="宋体" w:cs="宋体"/>
          <w:b/>
          <w:bCs w:val="0"/>
          <w:color w:val="000000"/>
          <w:kern w:val="0"/>
          <w:sz w:val="28"/>
          <w:szCs w:val="28"/>
          <w:lang w:val="en-US" w:eastAsia="zh-CN" w:bidi="ar"/>
        </w:rPr>
        <w:t>科研成果方面</w:t>
      </w:r>
    </w:p>
    <w:p w14:paraId="6FB43C5E">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3.4.</w:t>
      </w:r>
      <w:r>
        <w:rPr>
          <w:rFonts w:hint="default" w:ascii="宋体" w:hAnsi="宋体" w:eastAsia="宋体" w:cs="宋体"/>
          <w:b/>
          <w:bCs w:val="0"/>
          <w:color w:val="000000"/>
          <w:kern w:val="0"/>
          <w:sz w:val="28"/>
          <w:szCs w:val="28"/>
          <w:lang w:val="en-US" w:eastAsia="zh-CN" w:bidi="ar"/>
        </w:rPr>
        <w:t>1优化科研项目层次与结构</w:t>
      </w:r>
    </w:p>
    <w:p w14:paraId="520725A8">
      <w:pPr>
        <w:ind w:firstLine="562"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
          <w:bCs w:val="0"/>
          <w:color w:val="000000"/>
          <w:kern w:val="0"/>
          <w:sz w:val="28"/>
          <w:szCs w:val="28"/>
          <w:lang w:val="en-US" w:eastAsia="zh-CN" w:bidi="ar"/>
        </w:rPr>
        <w:t>提升国家级项目申报质量：</w:t>
      </w:r>
      <w:r>
        <w:rPr>
          <w:rFonts w:hint="default" w:ascii="宋体" w:hAnsi="宋体" w:eastAsia="宋体" w:cs="宋体"/>
          <w:bCs/>
          <w:color w:val="000000"/>
          <w:kern w:val="0"/>
          <w:sz w:val="28"/>
          <w:szCs w:val="28"/>
          <w:lang w:val="en-US" w:eastAsia="zh-CN" w:bidi="ar"/>
        </w:rPr>
        <w:t>加强国家级项目申报培训，邀请专家进行申报指导，提高申报书的质量。</w:t>
      </w:r>
      <w:r>
        <w:rPr>
          <w:rFonts w:hint="default" w:ascii="宋体" w:hAnsi="宋体" w:eastAsia="宋体" w:cs="宋体"/>
          <w:b/>
          <w:bCs w:val="0"/>
          <w:color w:val="000000"/>
          <w:kern w:val="0"/>
          <w:sz w:val="28"/>
          <w:szCs w:val="28"/>
          <w:lang w:val="en-US" w:eastAsia="zh-CN" w:bidi="ar"/>
        </w:rPr>
        <w:t>加强产学研合作：</w:t>
      </w:r>
      <w:r>
        <w:rPr>
          <w:rFonts w:hint="default" w:ascii="宋体" w:hAnsi="宋体" w:eastAsia="宋体" w:cs="宋体"/>
          <w:bCs/>
          <w:color w:val="000000"/>
          <w:kern w:val="0"/>
          <w:sz w:val="28"/>
          <w:szCs w:val="28"/>
          <w:lang w:val="en-US" w:eastAsia="zh-CN" w:bidi="ar"/>
        </w:rPr>
        <w:t>建立产学研合作办公室，主动对接行业企业，挖掘合作需求。</w:t>
      </w:r>
    </w:p>
    <w:p w14:paraId="325AF4A8">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3.4.2</w:t>
      </w:r>
      <w:r>
        <w:rPr>
          <w:rFonts w:hint="default" w:ascii="宋体" w:hAnsi="宋体" w:eastAsia="宋体" w:cs="宋体"/>
          <w:b/>
          <w:bCs w:val="0"/>
          <w:color w:val="000000"/>
          <w:kern w:val="0"/>
          <w:sz w:val="28"/>
          <w:szCs w:val="28"/>
          <w:lang w:val="en-US" w:eastAsia="zh-CN" w:bidi="ar"/>
        </w:rPr>
        <w:t>提高科研成果转化效能</w:t>
      </w:r>
    </w:p>
    <w:p w14:paraId="541C23B4">
      <w:pPr>
        <w:ind w:firstLine="562"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
          <w:bCs w:val="0"/>
          <w:color w:val="000000"/>
          <w:kern w:val="0"/>
          <w:sz w:val="28"/>
          <w:szCs w:val="28"/>
          <w:lang w:val="en-US" w:eastAsia="zh-CN" w:bidi="ar"/>
        </w:rPr>
        <w:t>完善成果转化机制：</w:t>
      </w:r>
      <w:r>
        <w:rPr>
          <w:rFonts w:hint="default" w:ascii="宋体" w:hAnsi="宋体" w:eastAsia="宋体" w:cs="宋体"/>
          <w:bCs/>
          <w:color w:val="000000"/>
          <w:kern w:val="0"/>
          <w:sz w:val="28"/>
          <w:szCs w:val="28"/>
          <w:lang w:val="en-US" w:eastAsia="zh-CN" w:bidi="ar"/>
        </w:rPr>
        <w:t>建立科研成果转化平台，优化成果转化流程，提高转化效率。</w:t>
      </w:r>
      <w:r>
        <w:rPr>
          <w:rFonts w:hint="default" w:ascii="宋体" w:hAnsi="宋体" w:eastAsia="宋体" w:cs="宋体"/>
          <w:b/>
          <w:bCs w:val="0"/>
          <w:color w:val="000000"/>
          <w:kern w:val="0"/>
          <w:sz w:val="28"/>
          <w:szCs w:val="28"/>
          <w:lang w:val="en-US" w:eastAsia="zh-CN" w:bidi="ar"/>
        </w:rPr>
        <w:t>加强知识产权保护：</w:t>
      </w:r>
      <w:r>
        <w:rPr>
          <w:rFonts w:hint="default" w:ascii="宋体" w:hAnsi="宋体" w:eastAsia="宋体" w:cs="宋体"/>
          <w:bCs/>
          <w:color w:val="000000"/>
          <w:kern w:val="0"/>
          <w:sz w:val="28"/>
          <w:szCs w:val="28"/>
          <w:lang w:val="en-US" w:eastAsia="zh-CN" w:bidi="ar"/>
        </w:rPr>
        <w:t>完善知识产权保护机制，确保科研成果的市场价值得到充分挖掘。</w:t>
      </w:r>
    </w:p>
    <w:p w14:paraId="3C9C3DBF">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3.5学位论文方面</w:t>
      </w:r>
    </w:p>
    <w:p w14:paraId="4D0BD8E0">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3.5.1</w:t>
      </w:r>
      <w:r>
        <w:rPr>
          <w:rFonts w:hint="default" w:ascii="宋体" w:hAnsi="宋体" w:eastAsia="宋体" w:cs="宋体"/>
          <w:b/>
          <w:bCs w:val="0"/>
          <w:color w:val="000000"/>
          <w:kern w:val="0"/>
          <w:sz w:val="28"/>
          <w:szCs w:val="28"/>
          <w:lang w:val="en-US" w:eastAsia="zh-CN" w:bidi="ar"/>
        </w:rPr>
        <w:t>健全优秀论文培育机制</w:t>
      </w:r>
    </w:p>
    <w:p w14:paraId="18D5246C">
      <w:pPr>
        <w:ind w:firstLine="562"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
          <w:bCs w:val="0"/>
          <w:color w:val="000000"/>
          <w:kern w:val="0"/>
          <w:sz w:val="28"/>
          <w:szCs w:val="28"/>
          <w:lang w:val="en-US" w:eastAsia="zh-CN" w:bidi="ar"/>
        </w:rPr>
        <w:t>建立个性化指导机制：</w:t>
      </w:r>
      <w:r>
        <w:rPr>
          <w:rFonts w:hint="default" w:ascii="宋体" w:hAnsi="宋体" w:eastAsia="宋体" w:cs="宋体"/>
          <w:bCs/>
          <w:color w:val="000000"/>
          <w:kern w:val="0"/>
          <w:sz w:val="28"/>
          <w:szCs w:val="28"/>
          <w:lang w:val="en-US" w:eastAsia="zh-CN" w:bidi="ar"/>
        </w:rPr>
        <w:t>针对高潜力论文，建立个性化指导机制，为研究生提供一对一的指导。</w:t>
      </w:r>
      <w:r>
        <w:rPr>
          <w:rFonts w:hint="default" w:ascii="宋体" w:hAnsi="宋体" w:eastAsia="宋体" w:cs="宋体"/>
          <w:b/>
          <w:bCs w:val="0"/>
          <w:color w:val="000000"/>
          <w:kern w:val="0"/>
          <w:sz w:val="28"/>
          <w:szCs w:val="28"/>
          <w:lang w:val="en-US" w:eastAsia="zh-CN" w:bidi="ar"/>
        </w:rPr>
        <w:t>加强创新能力培养：</w:t>
      </w:r>
      <w:r>
        <w:rPr>
          <w:rFonts w:hint="default" w:ascii="宋体" w:hAnsi="宋体" w:eastAsia="宋体" w:cs="宋体"/>
          <w:bCs/>
          <w:color w:val="000000"/>
          <w:kern w:val="0"/>
          <w:sz w:val="28"/>
          <w:szCs w:val="28"/>
          <w:lang w:val="en-US" w:eastAsia="zh-CN" w:bidi="ar"/>
        </w:rPr>
        <w:t>优化研究生培养方案，增加创新性课程和实践环节，提升研究生的创新能力。</w:t>
      </w:r>
    </w:p>
    <w:p w14:paraId="3FE5F039">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2.5.</w:t>
      </w:r>
      <w:r>
        <w:rPr>
          <w:rFonts w:hint="default" w:ascii="宋体" w:hAnsi="宋体" w:eastAsia="宋体" w:cs="宋体"/>
          <w:b/>
          <w:bCs w:val="0"/>
          <w:color w:val="000000"/>
          <w:kern w:val="0"/>
          <w:sz w:val="28"/>
          <w:szCs w:val="28"/>
          <w:lang w:val="en-US" w:eastAsia="zh-CN" w:bidi="ar"/>
        </w:rPr>
        <w:t>2加强学位论文跨学科研究</w:t>
      </w:r>
    </w:p>
    <w:p w14:paraId="732334B6">
      <w:pPr>
        <w:ind w:firstLine="562" w:firstLineChars="200"/>
        <w:rPr>
          <w:rFonts w:hint="default"/>
          <w:lang w:val="en-US" w:eastAsia="zh-CN"/>
        </w:rPr>
      </w:pPr>
      <w:r>
        <w:rPr>
          <w:rFonts w:hint="default" w:ascii="宋体" w:hAnsi="宋体" w:eastAsia="宋体" w:cs="宋体"/>
          <w:b/>
          <w:bCs w:val="0"/>
          <w:color w:val="000000"/>
          <w:kern w:val="0"/>
          <w:sz w:val="28"/>
          <w:szCs w:val="28"/>
          <w:lang w:val="en-US" w:eastAsia="zh-CN" w:bidi="ar"/>
        </w:rPr>
        <w:t>鼓励跨学科研究：</w:t>
      </w:r>
      <w:r>
        <w:rPr>
          <w:rFonts w:hint="default" w:ascii="宋体" w:hAnsi="宋体" w:eastAsia="宋体" w:cs="宋体"/>
          <w:bCs/>
          <w:color w:val="000000"/>
          <w:kern w:val="0"/>
          <w:sz w:val="28"/>
          <w:szCs w:val="28"/>
          <w:lang w:val="en-US" w:eastAsia="zh-CN" w:bidi="ar"/>
        </w:rPr>
        <w:t>设立跨学科研究基金，鼓励研究生开展跨学科研究。</w:t>
      </w:r>
      <w:r>
        <w:rPr>
          <w:rFonts w:hint="default" w:ascii="宋体" w:hAnsi="宋体" w:eastAsia="宋体" w:cs="宋体"/>
          <w:b/>
          <w:bCs w:val="0"/>
          <w:color w:val="000000"/>
          <w:kern w:val="0"/>
          <w:sz w:val="28"/>
          <w:szCs w:val="28"/>
          <w:lang w:val="en-US" w:eastAsia="zh-CN" w:bidi="ar"/>
        </w:rPr>
        <w:t>优化论文指导团队：</w:t>
      </w:r>
      <w:r>
        <w:rPr>
          <w:rFonts w:hint="default" w:ascii="宋体" w:hAnsi="宋体" w:eastAsia="宋体" w:cs="宋体"/>
          <w:bCs/>
          <w:color w:val="000000"/>
          <w:kern w:val="0"/>
          <w:sz w:val="28"/>
          <w:szCs w:val="28"/>
          <w:lang w:val="en-US" w:eastAsia="zh-CN" w:bidi="ar"/>
        </w:rPr>
        <w:t>组建跨学科导师团队，共同指导研究生的学位论文。</w:t>
      </w:r>
    </w:p>
    <w:p w14:paraId="4F8C4BE3">
      <w:pPr>
        <w:ind w:firstLine="643" w:firstLineChars="200"/>
        <w:rPr>
          <w:rFonts w:hint="default" w:ascii="宋体" w:hAnsi="宋体" w:eastAsia="宋体" w:cs="宋体"/>
          <w:bCs/>
          <w:color w:val="000000"/>
          <w:kern w:val="0"/>
          <w:sz w:val="28"/>
          <w:szCs w:val="28"/>
          <w:lang w:val="en-US" w:eastAsia="zh-CN" w:bidi="ar"/>
        </w:rPr>
      </w:pPr>
      <w:r>
        <w:rPr>
          <w:rFonts w:hint="eastAsia" w:ascii="Times New Roman" w:hAnsi="Times New Roman" w:eastAsia="方正小标宋简体"/>
          <w:b/>
          <w:sz w:val="32"/>
          <w:szCs w:val="32"/>
        </w:rPr>
        <w:t>四、下一年度建设计划</w:t>
      </w:r>
    </w:p>
    <w:p w14:paraId="58AFCDEB">
      <w:pPr>
        <w:ind w:firstLine="560"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Cs/>
          <w:color w:val="000000"/>
          <w:kern w:val="0"/>
          <w:sz w:val="28"/>
          <w:szCs w:val="28"/>
          <w:lang w:val="en-US" w:eastAsia="zh-CN" w:bidi="ar"/>
        </w:rPr>
        <w:t>下一年度中医学博士学位点建设将围绕学科发展、师资队伍建设、人才培养、科研成果和社会服务等方面，进一步优化资源配置，提升学科整体水平，推动学位点高质量发展，增强学科的影响力和竞争力。</w:t>
      </w:r>
    </w:p>
    <w:p w14:paraId="266D318D">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（一）学科发展</w:t>
      </w:r>
    </w:p>
    <w:p w14:paraId="2AE0F563">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1.1优化研究方向布局</w:t>
      </w:r>
    </w:p>
    <w:p w14:paraId="57D562C2">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加强薄弱学科建设：</w:t>
      </w:r>
      <w:r>
        <w:rPr>
          <w:rFonts w:hint="eastAsia" w:ascii="宋体" w:hAnsi="宋体" w:eastAsia="宋体" w:cs="宋体"/>
          <w:bCs/>
          <w:color w:val="000000"/>
          <w:kern w:val="0"/>
          <w:sz w:val="28"/>
          <w:szCs w:val="28"/>
          <w:lang w:val="en-US" w:eastAsia="zh-CN" w:bidi="ar"/>
        </w:rPr>
        <w:t>制定专项计划，加大对其他学科方向的投入和支持，支持薄弱学科方向的科研项目和人才培养，提升学科布局的均衡性。</w:t>
      </w:r>
    </w:p>
    <w:p w14:paraId="77860B57">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促进多学科协同创新：</w:t>
      </w:r>
      <w:r>
        <w:rPr>
          <w:rFonts w:hint="eastAsia" w:ascii="宋体" w:hAnsi="宋体" w:eastAsia="宋体" w:cs="宋体"/>
          <w:bCs/>
          <w:color w:val="000000"/>
          <w:kern w:val="0"/>
          <w:sz w:val="28"/>
          <w:szCs w:val="28"/>
          <w:lang w:val="en-US" w:eastAsia="zh-CN" w:bidi="ar"/>
        </w:rPr>
        <w:t>建立跨学科研究平台，支持跨学科研究项目，鼓励不同学科方向的导师团队开展合作研究，推动学科交叉融合。</w:t>
      </w:r>
    </w:p>
    <w:p w14:paraId="66567D45">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1.2提升学科交叉融合</w:t>
      </w:r>
    </w:p>
    <w:p w14:paraId="2FACDABE">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整合多学科资源：</w:t>
      </w:r>
      <w:r>
        <w:rPr>
          <w:rFonts w:hint="eastAsia" w:ascii="宋体" w:hAnsi="宋体" w:eastAsia="宋体" w:cs="宋体"/>
          <w:bCs/>
          <w:color w:val="000000"/>
          <w:kern w:val="0"/>
          <w:sz w:val="28"/>
          <w:szCs w:val="28"/>
          <w:lang w:val="en-US" w:eastAsia="zh-CN" w:bidi="ar"/>
        </w:rPr>
        <w:t>鼓励传统中医药导师与生物医学、信息工程等领域导师合作申报交叉课题，配套专项经费支持。</w:t>
      </w:r>
    </w:p>
    <w:p w14:paraId="3F3A3DBC">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开展跨学科培训：</w:t>
      </w:r>
      <w:r>
        <w:rPr>
          <w:rFonts w:hint="eastAsia" w:ascii="宋体" w:hAnsi="宋体" w:eastAsia="宋体" w:cs="宋体"/>
          <w:bCs/>
          <w:color w:val="000000"/>
          <w:kern w:val="0"/>
          <w:sz w:val="28"/>
          <w:szCs w:val="28"/>
          <w:lang w:val="en-US" w:eastAsia="zh-CN" w:bidi="ar"/>
        </w:rPr>
        <w:t>定期组织跨学科培训和学术讲座，提升导师团队的跨学科知识水平和合作能力。</w:t>
      </w:r>
    </w:p>
    <w:p w14:paraId="0445F8DC">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（二）师资队伍建设</w:t>
      </w:r>
    </w:p>
    <w:p w14:paraId="2CB78467">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2.1高层次人才引进</w:t>
      </w:r>
    </w:p>
    <w:p w14:paraId="0FBDE133">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人才引进：</w:t>
      </w:r>
      <w:r>
        <w:rPr>
          <w:rFonts w:hint="eastAsia" w:ascii="宋体" w:hAnsi="宋体" w:eastAsia="宋体" w:cs="宋体"/>
          <w:bCs/>
          <w:color w:val="000000"/>
          <w:kern w:val="0"/>
          <w:sz w:val="28"/>
          <w:szCs w:val="28"/>
          <w:lang w:val="en-US" w:eastAsia="zh-CN" w:bidi="ar"/>
        </w:rPr>
        <w:t>设立“交叉学科特聘教授”岗位，重点引进具有海外学术背景或新兴学科领域（如生物医药大数据、AI辅助诊疗）的领军人才。</w:t>
      </w:r>
    </w:p>
    <w:p w14:paraId="70A377CC">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国际合作：</w:t>
      </w:r>
      <w:r>
        <w:rPr>
          <w:rFonts w:hint="eastAsia" w:ascii="宋体" w:hAnsi="宋体" w:eastAsia="宋体" w:cs="宋体"/>
          <w:bCs/>
          <w:color w:val="000000"/>
          <w:kern w:val="0"/>
          <w:sz w:val="28"/>
          <w:szCs w:val="28"/>
          <w:lang w:val="en-US" w:eastAsia="zh-CN" w:bidi="ar"/>
        </w:rPr>
        <w:t>与海外高校/研究机构建立“双聘制”，联合培养青年导师，推动导师团队国际化。</w:t>
      </w:r>
    </w:p>
    <w:p w14:paraId="67D622D4">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2.2青年教师发展</w:t>
      </w:r>
    </w:p>
    <w:p w14:paraId="6C701DE6">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完善职业晋升机制：</w:t>
      </w:r>
      <w:r>
        <w:rPr>
          <w:rFonts w:hint="eastAsia" w:ascii="宋体" w:hAnsi="宋体" w:eastAsia="宋体" w:cs="宋体"/>
          <w:bCs/>
          <w:color w:val="000000"/>
          <w:kern w:val="0"/>
          <w:sz w:val="28"/>
          <w:szCs w:val="28"/>
          <w:lang w:val="en-US" w:eastAsia="zh-CN" w:bidi="ar"/>
        </w:rPr>
        <w:t>优化青年教师的职业晋升通道，为他们提供更多的晋升机会和资源支持。</w:t>
      </w:r>
    </w:p>
    <w:p w14:paraId="06D059B7">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加强科研资源分配：</w:t>
      </w:r>
      <w:r>
        <w:rPr>
          <w:rFonts w:hint="eastAsia" w:ascii="宋体" w:hAnsi="宋体" w:eastAsia="宋体" w:cs="宋体"/>
          <w:bCs/>
          <w:color w:val="000000"/>
          <w:kern w:val="0"/>
          <w:sz w:val="28"/>
          <w:szCs w:val="28"/>
          <w:lang w:val="en-US" w:eastAsia="zh-CN" w:bidi="ar"/>
        </w:rPr>
        <w:t>建立公平的科研资源分配机制，确保青年教师在项目申报和科研经费获取方面具有竞争力。</w:t>
      </w:r>
    </w:p>
    <w:p w14:paraId="7237CF2D">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（三）人才培养</w:t>
      </w:r>
    </w:p>
    <w:p w14:paraId="592F11AB">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3.1提升研究生培养质量</w:t>
      </w:r>
    </w:p>
    <w:p w14:paraId="22670309">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优化培养方案：</w:t>
      </w:r>
      <w:r>
        <w:rPr>
          <w:rFonts w:hint="eastAsia" w:ascii="宋体" w:hAnsi="宋体" w:eastAsia="宋体" w:cs="宋体"/>
          <w:bCs/>
          <w:color w:val="000000"/>
          <w:kern w:val="0"/>
          <w:sz w:val="28"/>
          <w:szCs w:val="28"/>
          <w:lang w:val="en-US" w:eastAsia="zh-CN" w:bidi="ar"/>
        </w:rPr>
        <w:t>增加创新性课程和实践环节，提升研究生的创新能力。加大“研究生创新能力提升项目”投入力度，支持研究生开展创新性研究。</w:t>
      </w:r>
    </w:p>
    <w:p w14:paraId="00E0D185">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加强论文指导：</w:t>
      </w:r>
      <w:r>
        <w:rPr>
          <w:rFonts w:hint="eastAsia" w:ascii="宋体" w:hAnsi="宋体" w:eastAsia="宋体" w:cs="宋体"/>
          <w:bCs/>
          <w:color w:val="000000"/>
          <w:kern w:val="0"/>
          <w:sz w:val="28"/>
          <w:szCs w:val="28"/>
          <w:lang w:val="en-US" w:eastAsia="zh-CN" w:bidi="ar"/>
        </w:rPr>
        <w:t>优化导师指导机制，确保导师能够及时发现和解决学生在论文撰写过程中遇到的问题。</w:t>
      </w:r>
    </w:p>
    <w:p w14:paraId="741BC03E">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3.2优秀论文培育</w:t>
      </w:r>
    </w:p>
    <w:p w14:paraId="1A095A66">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资源支持：</w:t>
      </w:r>
      <w:r>
        <w:rPr>
          <w:rFonts w:hint="eastAsia" w:ascii="宋体" w:hAnsi="宋体" w:eastAsia="宋体" w:cs="宋体"/>
          <w:bCs/>
          <w:color w:val="000000"/>
          <w:kern w:val="0"/>
          <w:sz w:val="28"/>
          <w:szCs w:val="28"/>
          <w:lang w:val="en-US" w:eastAsia="zh-CN" w:bidi="ar"/>
        </w:rPr>
        <w:t>加强研究生科研能力的培养，提供更多的科研资源和平台支持，鼓励研究生开展高水平研究。</w:t>
      </w:r>
    </w:p>
    <w:p w14:paraId="4A01FFBE">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国际对标：</w:t>
      </w:r>
      <w:r>
        <w:rPr>
          <w:rFonts w:hint="eastAsia" w:ascii="宋体" w:hAnsi="宋体" w:eastAsia="宋体" w:cs="宋体"/>
          <w:bCs/>
          <w:color w:val="000000"/>
          <w:kern w:val="0"/>
          <w:sz w:val="28"/>
          <w:szCs w:val="28"/>
          <w:lang w:val="en-US" w:eastAsia="zh-CN" w:bidi="ar"/>
        </w:rPr>
        <w:t>鼓励论文投稿国际顶刊，对发表高级别的论文给予配套奖励，纳入导师绩效考核。</w:t>
      </w:r>
    </w:p>
    <w:p w14:paraId="47647001">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（四）科研成果</w:t>
      </w:r>
    </w:p>
    <w:p w14:paraId="2DDC24BD">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4.1提升科研项目层次与结构</w:t>
      </w:r>
    </w:p>
    <w:p w14:paraId="7335B24F">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申报团队培育：</w:t>
      </w:r>
      <w:r>
        <w:rPr>
          <w:rFonts w:hint="eastAsia" w:ascii="宋体" w:hAnsi="宋体" w:eastAsia="宋体" w:cs="宋体"/>
          <w:bCs/>
          <w:color w:val="000000"/>
          <w:kern w:val="0"/>
          <w:sz w:val="28"/>
          <w:szCs w:val="28"/>
          <w:lang w:val="en-US" w:eastAsia="zh-CN" w:bidi="ar"/>
        </w:rPr>
        <w:t>加强国家级项目申报指导，组建专项团队分析政策导向，整合优势资源凝练重大研究方向。</w:t>
      </w:r>
    </w:p>
    <w:p w14:paraId="02E8DF71">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青年人才托举：</w:t>
      </w:r>
      <w:r>
        <w:rPr>
          <w:rFonts w:hint="eastAsia" w:ascii="宋体" w:hAnsi="宋体" w:eastAsia="宋体" w:cs="宋体"/>
          <w:bCs/>
          <w:color w:val="000000"/>
          <w:kern w:val="0"/>
          <w:sz w:val="28"/>
          <w:szCs w:val="28"/>
          <w:lang w:val="en-US" w:eastAsia="zh-CN" w:bidi="ar"/>
        </w:rPr>
        <w:t>设立青年教师科研培育计划，支持其参与高水平科研项目，积累经验，提升国家级项目申报能力。</w:t>
      </w:r>
    </w:p>
    <w:p w14:paraId="6AD9F851">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4.2提高科研成果转化效能</w:t>
      </w:r>
    </w:p>
    <w:p w14:paraId="6E99E833">
      <w:pPr>
        <w:ind w:firstLine="562" w:firstLineChars="200"/>
        <w:rPr>
          <w:rFonts w:hint="eastAsia"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鼓励产学研合作：</w:t>
      </w:r>
      <w:r>
        <w:rPr>
          <w:rFonts w:hint="eastAsia" w:ascii="宋体" w:hAnsi="宋体" w:eastAsia="宋体" w:cs="宋体"/>
          <w:bCs/>
          <w:color w:val="000000"/>
          <w:kern w:val="0"/>
          <w:sz w:val="28"/>
          <w:szCs w:val="28"/>
          <w:lang w:val="en-US" w:eastAsia="zh-CN" w:bidi="ar"/>
        </w:rPr>
        <w:t xml:space="preserve">加强与行业企业的合作，建立产学研合作基地，推动科研成果的转化和应用。◦ </w:t>
      </w:r>
    </w:p>
    <w:p w14:paraId="48F1AC31">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成果转化激励：</w:t>
      </w:r>
      <w:r>
        <w:rPr>
          <w:rFonts w:hint="eastAsia" w:ascii="宋体" w:hAnsi="宋体" w:eastAsia="宋体" w:cs="宋体"/>
          <w:bCs/>
          <w:color w:val="000000"/>
          <w:kern w:val="0"/>
          <w:sz w:val="28"/>
          <w:szCs w:val="28"/>
          <w:lang w:val="en-US" w:eastAsia="zh-CN" w:bidi="ar"/>
        </w:rPr>
        <w:t>提高横向课题成果转化奖励机制，激发导师参与企业合作动力。</w:t>
      </w:r>
    </w:p>
    <w:p w14:paraId="191A68EE">
      <w:pPr>
        <w:ind w:firstLine="562" w:firstLineChars="200"/>
        <w:rPr>
          <w:rFonts w:hint="eastAsia"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（五）社会服务</w:t>
      </w:r>
    </w:p>
    <w:p w14:paraId="11EEB80E">
      <w:pPr>
        <w:ind w:firstLine="562" w:firstLineChars="200"/>
        <w:rPr>
          <w:rFonts w:hint="default" w:ascii="宋体" w:hAnsi="宋体" w:eastAsia="宋体" w:cs="宋体"/>
          <w:b/>
          <w:bCs w:val="0"/>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5.1</w:t>
      </w:r>
      <w:r>
        <w:rPr>
          <w:rFonts w:hint="default" w:ascii="宋体" w:hAnsi="宋体" w:eastAsia="宋体" w:cs="宋体"/>
          <w:b/>
          <w:bCs w:val="0"/>
          <w:color w:val="000000"/>
          <w:kern w:val="0"/>
          <w:sz w:val="28"/>
          <w:szCs w:val="28"/>
          <w:lang w:val="en-US" w:eastAsia="zh-CN" w:bidi="ar"/>
        </w:rPr>
        <w:t xml:space="preserve">推动中医药现代化研究 </w:t>
      </w:r>
    </w:p>
    <w:p w14:paraId="48B91E09">
      <w:pPr>
        <w:ind w:firstLine="560"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依托国家级平台和省级实验室，进一步深化中医药现代化研究，特别是在中药制剂、中医诊疗技术等方面取得更多突破</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牵头制定更多行业指南与标准，规范中医优势病种的治疗流程，提升中医药的临床疗效和标准化水平</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加强中药制剂的成果转化，推动更多中药新药的研发和临床应用。</w:t>
      </w:r>
    </w:p>
    <w:p w14:paraId="2D7F85C4">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5.2</w:t>
      </w:r>
      <w:r>
        <w:rPr>
          <w:rFonts w:hint="default" w:ascii="宋体" w:hAnsi="宋体" w:eastAsia="宋体" w:cs="宋体"/>
          <w:b/>
          <w:bCs w:val="0"/>
          <w:color w:val="000000"/>
          <w:kern w:val="0"/>
          <w:sz w:val="28"/>
          <w:szCs w:val="28"/>
          <w:lang w:val="en-US" w:eastAsia="zh-CN" w:bidi="ar"/>
        </w:rPr>
        <w:t>助力中医药产业发展</w:t>
      </w:r>
    </w:p>
    <w:p w14:paraId="1C975DA9">
      <w:pPr>
        <w:ind w:firstLine="560"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继续培养高素质中医药人才，推动产学研结合，促进中医药产业的高质量发展</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组建医疗</w:t>
      </w:r>
      <w:r>
        <w:rPr>
          <w:rFonts w:hint="eastAsia" w:ascii="宋体" w:hAnsi="宋体" w:eastAsia="宋体" w:cs="宋体"/>
          <w:bCs/>
          <w:color w:val="000000"/>
          <w:kern w:val="0"/>
          <w:sz w:val="28"/>
          <w:szCs w:val="28"/>
          <w:lang w:val="en-US" w:eastAsia="zh-CN" w:bidi="ar"/>
        </w:rPr>
        <w:t>专家队伍</w:t>
      </w:r>
      <w:r>
        <w:rPr>
          <w:rFonts w:hint="default" w:ascii="宋体" w:hAnsi="宋体" w:eastAsia="宋体" w:cs="宋体"/>
          <w:bCs/>
          <w:color w:val="000000"/>
          <w:kern w:val="0"/>
          <w:sz w:val="28"/>
          <w:szCs w:val="28"/>
          <w:lang w:val="en-US" w:eastAsia="zh-CN" w:bidi="ar"/>
        </w:rPr>
        <w:t>，通过专家支援和基层医院建设，进一步降低转诊率，节约医保资金，提升基层医疗服务水平</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在公共卫生事件中，充分发挥中医药的优势，如疫情期间的预防方剂和诊疗方案，提升治愈率，彰显中医特色。</w:t>
      </w:r>
    </w:p>
    <w:p w14:paraId="6992F765">
      <w:pPr>
        <w:ind w:firstLine="562" w:firstLineChars="200"/>
        <w:rPr>
          <w:rFonts w:hint="default" w:ascii="宋体" w:hAnsi="宋体" w:eastAsia="宋体" w:cs="宋体"/>
          <w:bCs/>
          <w:color w:val="000000"/>
          <w:kern w:val="0"/>
          <w:sz w:val="28"/>
          <w:szCs w:val="28"/>
          <w:lang w:val="en-US" w:eastAsia="zh-CN" w:bidi="ar"/>
        </w:rPr>
      </w:pPr>
      <w:r>
        <w:rPr>
          <w:rFonts w:hint="eastAsia" w:ascii="宋体" w:hAnsi="宋体" w:eastAsia="宋体" w:cs="宋体"/>
          <w:b/>
          <w:bCs w:val="0"/>
          <w:color w:val="000000"/>
          <w:kern w:val="0"/>
          <w:sz w:val="28"/>
          <w:szCs w:val="28"/>
          <w:lang w:val="en-US" w:eastAsia="zh-CN" w:bidi="ar"/>
        </w:rPr>
        <w:t>5.3继续</w:t>
      </w:r>
      <w:r>
        <w:rPr>
          <w:rFonts w:hint="default" w:ascii="宋体" w:hAnsi="宋体" w:eastAsia="宋体" w:cs="宋体"/>
          <w:b/>
          <w:bCs w:val="0"/>
          <w:color w:val="000000"/>
          <w:kern w:val="0"/>
          <w:sz w:val="28"/>
          <w:szCs w:val="28"/>
          <w:lang w:val="en-US" w:eastAsia="zh-CN" w:bidi="ar"/>
        </w:rPr>
        <w:t>打造仲景文化品牌</w:t>
      </w:r>
    </w:p>
    <w:p w14:paraId="01874CFA">
      <w:pPr>
        <w:ind w:firstLine="560" w:firstLineChars="200"/>
        <w:rPr>
          <w:rFonts w:hint="default" w:ascii="宋体" w:hAnsi="宋体" w:eastAsia="宋体" w:cs="宋体"/>
          <w:bCs/>
          <w:color w:val="000000"/>
          <w:kern w:val="0"/>
          <w:sz w:val="28"/>
          <w:szCs w:val="28"/>
          <w:lang w:val="en-US" w:eastAsia="zh-CN" w:bidi="ar"/>
        </w:rPr>
      </w:pPr>
      <w:r>
        <w:rPr>
          <w:rFonts w:hint="default" w:ascii="宋体" w:hAnsi="宋体" w:eastAsia="宋体" w:cs="宋体"/>
          <w:bCs/>
          <w:color w:val="000000"/>
          <w:kern w:val="0"/>
          <w:sz w:val="28"/>
          <w:szCs w:val="28"/>
          <w:lang w:val="en-US" w:eastAsia="zh-CN" w:bidi="ar"/>
        </w:rPr>
        <w:t>依托中医药文化基地，进一步扩大文化传承与创新的影响力，接待更多参观者，传播中医药文化</w:t>
      </w:r>
      <w:r>
        <w:rPr>
          <w:rFonts w:hint="eastAsia" w:ascii="宋体" w:hAnsi="宋体" w:eastAsia="宋体" w:cs="宋体"/>
          <w:bCs/>
          <w:color w:val="000000"/>
          <w:kern w:val="0"/>
          <w:sz w:val="28"/>
          <w:szCs w:val="28"/>
          <w:lang w:val="en-US" w:eastAsia="zh-CN" w:bidi="ar"/>
        </w:rPr>
        <w:t>；</w:t>
      </w:r>
      <w:r>
        <w:rPr>
          <w:rFonts w:hint="default" w:ascii="宋体" w:hAnsi="宋体" w:eastAsia="宋体" w:cs="宋体"/>
          <w:bCs/>
          <w:color w:val="000000"/>
          <w:kern w:val="0"/>
          <w:sz w:val="28"/>
          <w:szCs w:val="28"/>
          <w:lang w:val="en-US" w:eastAsia="zh-CN" w:bidi="ar"/>
        </w:rPr>
        <w:t>举办文化节和国际交流活动，如美国中医孔子学院、中马中医药中心等，推动中医药文化的国际传播。</w:t>
      </w:r>
    </w:p>
    <w:p w14:paraId="328C2D2D">
      <w:pPr>
        <w:ind w:firstLine="560" w:firstLineChars="200"/>
        <w:rPr>
          <w:rFonts w:hint="default" w:ascii="宋体" w:hAnsi="宋体" w:eastAsia="宋体" w:cs="宋体"/>
          <w:bCs/>
          <w:color w:val="000000"/>
          <w:kern w:val="0"/>
          <w:sz w:val="28"/>
          <w:szCs w:val="28"/>
          <w:lang w:val="en-US" w:eastAsia="zh-CN" w:bidi="ar"/>
        </w:rPr>
      </w:pPr>
    </w:p>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仿宋简体">
    <w:altName w:val="微软雅黑"/>
    <w:panose1 w:val="02000000000000000000"/>
    <w:charset w:val="86"/>
    <w:family w:val="auto"/>
    <w:pitch w:val="default"/>
    <w:sig w:usb0="00000000" w:usb1="00000000" w:usb2="00000012"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A2968"/>
    <w:rsid w:val="00360E24"/>
    <w:rsid w:val="003F23CE"/>
    <w:rsid w:val="007E0963"/>
    <w:rsid w:val="00891D5E"/>
    <w:rsid w:val="00CD1788"/>
    <w:rsid w:val="01172A03"/>
    <w:rsid w:val="01213882"/>
    <w:rsid w:val="01303AC5"/>
    <w:rsid w:val="01415CD2"/>
    <w:rsid w:val="015C2B0C"/>
    <w:rsid w:val="015C48BA"/>
    <w:rsid w:val="015E0632"/>
    <w:rsid w:val="01695955"/>
    <w:rsid w:val="01806B0D"/>
    <w:rsid w:val="01891B53"/>
    <w:rsid w:val="01A3073B"/>
    <w:rsid w:val="02160F0D"/>
    <w:rsid w:val="02181129"/>
    <w:rsid w:val="021A09FD"/>
    <w:rsid w:val="02315D47"/>
    <w:rsid w:val="027C3466"/>
    <w:rsid w:val="02996051"/>
    <w:rsid w:val="02A061F0"/>
    <w:rsid w:val="02AF383B"/>
    <w:rsid w:val="02CD1F13"/>
    <w:rsid w:val="02CF7A3A"/>
    <w:rsid w:val="031C07A5"/>
    <w:rsid w:val="032B09E8"/>
    <w:rsid w:val="03332F3B"/>
    <w:rsid w:val="03433F84"/>
    <w:rsid w:val="03543659"/>
    <w:rsid w:val="038D16A3"/>
    <w:rsid w:val="03936CB9"/>
    <w:rsid w:val="03C03826"/>
    <w:rsid w:val="03D1333D"/>
    <w:rsid w:val="03D60954"/>
    <w:rsid w:val="03E33071"/>
    <w:rsid w:val="03EB7101"/>
    <w:rsid w:val="03F01F3C"/>
    <w:rsid w:val="040D635A"/>
    <w:rsid w:val="04375C00"/>
    <w:rsid w:val="043A7135"/>
    <w:rsid w:val="044A30F0"/>
    <w:rsid w:val="04504BAA"/>
    <w:rsid w:val="045C354F"/>
    <w:rsid w:val="047D1717"/>
    <w:rsid w:val="04842AA6"/>
    <w:rsid w:val="04A647CA"/>
    <w:rsid w:val="04E23328"/>
    <w:rsid w:val="04F65B7F"/>
    <w:rsid w:val="051D3BF0"/>
    <w:rsid w:val="055C132D"/>
    <w:rsid w:val="05726DA2"/>
    <w:rsid w:val="05834B0B"/>
    <w:rsid w:val="06084F90"/>
    <w:rsid w:val="060F45F1"/>
    <w:rsid w:val="06630B76"/>
    <w:rsid w:val="06896151"/>
    <w:rsid w:val="069F4940"/>
    <w:rsid w:val="06AB256C"/>
    <w:rsid w:val="06B331CE"/>
    <w:rsid w:val="06DF0467"/>
    <w:rsid w:val="06E51C97"/>
    <w:rsid w:val="06E96BF0"/>
    <w:rsid w:val="07247C28"/>
    <w:rsid w:val="074402CA"/>
    <w:rsid w:val="074D3623"/>
    <w:rsid w:val="07707311"/>
    <w:rsid w:val="077B0190"/>
    <w:rsid w:val="07CA07CF"/>
    <w:rsid w:val="07D17DB0"/>
    <w:rsid w:val="07DB478B"/>
    <w:rsid w:val="07E850FA"/>
    <w:rsid w:val="07E92CA1"/>
    <w:rsid w:val="080C528C"/>
    <w:rsid w:val="082C5D12"/>
    <w:rsid w:val="082D0D5E"/>
    <w:rsid w:val="08367B67"/>
    <w:rsid w:val="083B347B"/>
    <w:rsid w:val="083E11BD"/>
    <w:rsid w:val="08457A14"/>
    <w:rsid w:val="0849203C"/>
    <w:rsid w:val="08852948"/>
    <w:rsid w:val="088564A0"/>
    <w:rsid w:val="08AE6343"/>
    <w:rsid w:val="09093C92"/>
    <w:rsid w:val="091A7535"/>
    <w:rsid w:val="093A7BD7"/>
    <w:rsid w:val="093C394F"/>
    <w:rsid w:val="09532A47"/>
    <w:rsid w:val="09640E51"/>
    <w:rsid w:val="0978425B"/>
    <w:rsid w:val="098F195C"/>
    <w:rsid w:val="09954E0D"/>
    <w:rsid w:val="09963123"/>
    <w:rsid w:val="099A5DD9"/>
    <w:rsid w:val="099F5C8C"/>
    <w:rsid w:val="09A84B40"/>
    <w:rsid w:val="09B2776D"/>
    <w:rsid w:val="09CD3996"/>
    <w:rsid w:val="09D05E45"/>
    <w:rsid w:val="09FE6E56"/>
    <w:rsid w:val="0A037FC9"/>
    <w:rsid w:val="0A136152"/>
    <w:rsid w:val="0A2166A1"/>
    <w:rsid w:val="0A232419"/>
    <w:rsid w:val="0A40746F"/>
    <w:rsid w:val="0A6071C9"/>
    <w:rsid w:val="0A7315F2"/>
    <w:rsid w:val="0A79028B"/>
    <w:rsid w:val="0A935528"/>
    <w:rsid w:val="0AAC240E"/>
    <w:rsid w:val="0AC51722"/>
    <w:rsid w:val="0AF10769"/>
    <w:rsid w:val="0AF618DB"/>
    <w:rsid w:val="0AFC15E8"/>
    <w:rsid w:val="0B224DC6"/>
    <w:rsid w:val="0B260413"/>
    <w:rsid w:val="0B536D2E"/>
    <w:rsid w:val="0B5A4560"/>
    <w:rsid w:val="0B6E5916"/>
    <w:rsid w:val="0B732F2C"/>
    <w:rsid w:val="0B957346"/>
    <w:rsid w:val="0BA13F3D"/>
    <w:rsid w:val="0BC47C2C"/>
    <w:rsid w:val="0BDE6F3F"/>
    <w:rsid w:val="0BEF2EFA"/>
    <w:rsid w:val="0BEF4CA9"/>
    <w:rsid w:val="0BF73B5D"/>
    <w:rsid w:val="0C0B13B7"/>
    <w:rsid w:val="0C767178"/>
    <w:rsid w:val="0CAA5073"/>
    <w:rsid w:val="0CB101B0"/>
    <w:rsid w:val="0CCA615D"/>
    <w:rsid w:val="0CEA5470"/>
    <w:rsid w:val="0CEE31B2"/>
    <w:rsid w:val="0D026C5D"/>
    <w:rsid w:val="0D044784"/>
    <w:rsid w:val="0D1424ED"/>
    <w:rsid w:val="0D395CF0"/>
    <w:rsid w:val="0D442DD2"/>
    <w:rsid w:val="0D444B80"/>
    <w:rsid w:val="0DA87805"/>
    <w:rsid w:val="0DB03B82"/>
    <w:rsid w:val="0DBC6E0C"/>
    <w:rsid w:val="0E1B7FD7"/>
    <w:rsid w:val="0E213113"/>
    <w:rsid w:val="0ECD4593"/>
    <w:rsid w:val="0EF94BFA"/>
    <w:rsid w:val="0F0F5662"/>
    <w:rsid w:val="0F3F1AA3"/>
    <w:rsid w:val="0F4270DE"/>
    <w:rsid w:val="0F59068B"/>
    <w:rsid w:val="0F8676D2"/>
    <w:rsid w:val="10101691"/>
    <w:rsid w:val="10216F9B"/>
    <w:rsid w:val="107C0AD5"/>
    <w:rsid w:val="10F44B0F"/>
    <w:rsid w:val="10F62635"/>
    <w:rsid w:val="110A60E1"/>
    <w:rsid w:val="110F7B9B"/>
    <w:rsid w:val="114A472F"/>
    <w:rsid w:val="116457F1"/>
    <w:rsid w:val="117143B2"/>
    <w:rsid w:val="117417AC"/>
    <w:rsid w:val="117874EE"/>
    <w:rsid w:val="118765F1"/>
    <w:rsid w:val="1198193E"/>
    <w:rsid w:val="11A7392F"/>
    <w:rsid w:val="11BA18B5"/>
    <w:rsid w:val="12282CC2"/>
    <w:rsid w:val="125250DA"/>
    <w:rsid w:val="12745F08"/>
    <w:rsid w:val="127F187A"/>
    <w:rsid w:val="129728D9"/>
    <w:rsid w:val="1299596E"/>
    <w:rsid w:val="129C7A7D"/>
    <w:rsid w:val="12A762DD"/>
    <w:rsid w:val="12B502CE"/>
    <w:rsid w:val="12D746E8"/>
    <w:rsid w:val="13631AD8"/>
    <w:rsid w:val="136C6BDF"/>
    <w:rsid w:val="13985C26"/>
    <w:rsid w:val="13E744B7"/>
    <w:rsid w:val="13F13588"/>
    <w:rsid w:val="141C2D20"/>
    <w:rsid w:val="1433594E"/>
    <w:rsid w:val="143F2545"/>
    <w:rsid w:val="14585F80"/>
    <w:rsid w:val="148D1503"/>
    <w:rsid w:val="14AA20B4"/>
    <w:rsid w:val="14AB3737"/>
    <w:rsid w:val="14AE3227"/>
    <w:rsid w:val="14B720DC"/>
    <w:rsid w:val="14DF5063"/>
    <w:rsid w:val="153B4ABB"/>
    <w:rsid w:val="154D47EE"/>
    <w:rsid w:val="154F0566"/>
    <w:rsid w:val="15512530"/>
    <w:rsid w:val="15673B02"/>
    <w:rsid w:val="15702414"/>
    <w:rsid w:val="157D1577"/>
    <w:rsid w:val="1587205C"/>
    <w:rsid w:val="15E45152"/>
    <w:rsid w:val="160F7CF5"/>
    <w:rsid w:val="161329C4"/>
    <w:rsid w:val="16421E79"/>
    <w:rsid w:val="165027E8"/>
    <w:rsid w:val="165A5414"/>
    <w:rsid w:val="167D7355"/>
    <w:rsid w:val="16E15B36"/>
    <w:rsid w:val="16E178E4"/>
    <w:rsid w:val="17092996"/>
    <w:rsid w:val="17141A67"/>
    <w:rsid w:val="173D7210"/>
    <w:rsid w:val="17400AAE"/>
    <w:rsid w:val="178169D1"/>
    <w:rsid w:val="17872239"/>
    <w:rsid w:val="17C0399D"/>
    <w:rsid w:val="17DD0CAF"/>
    <w:rsid w:val="17E17DAB"/>
    <w:rsid w:val="186E51A7"/>
    <w:rsid w:val="18954E2A"/>
    <w:rsid w:val="18B232E6"/>
    <w:rsid w:val="18E93EBE"/>
    <w:rsid w:val="18F41B50"/>
    <w:rsid w:val="190B0C48"/>
    <w:rsid w:val="19185113"/>
    <w:rsid w:val="193463F1"/>
    <w:rsid w:val="194D74B2"/>
    <w:rsid w:val="198033E4"/>
    <w:rsid w:val="19B250D3"/>
    <w:rsid w:val="19BE3F0C"/>
    <w:rsid w:val="19E33973"/>
    <w:rsid w:val="1A5A3C35"/>
    <w:rsid w:val="1AA11864"/>
    <w:rsid w:val="1AE654C9"/>
    <w:rsid w:val="1AF12891"/>
    <w:rsid w:val="1B30131E"/>
    <w:rsid w:val="1B50328A"/>
    <w:rsid w:val="1B5B5EB7"/>
    <w:rsid w:val="1BB630ED"/>
    <w:rsid w:val="1C2A7637"/>
    <w:rsid w:val="1C427076"/>
    <w:rsid w:val="1C4C57FF"/>
    <w:rsid w:val="1C5A43C0"/>
    <w:rsid w:val="1D063C00"/>
    <w:rsid w:val="1D266050"/>
    <w:rsid w:val="1D3A7CD0"/>
    <w:rsid w:val="1D41732E"/>
    <w:rsid w:val="1D8D60CF"/>
    <w:rsid w:val="1DC87107"/>
    <w:rsid w:val="1DCD7725"/>
    <w:rsid w:val="1DD457BC"/>
    <w:rsid w:val="1DDF4451"/>
    <w:rsid w:val="1E110AAE"/>
    <w:rsid w:val="1E37603B"/>
    <w:rsid w:val="1E454BFC"/>
    <w:rsid w:val="1E562965"/>
    <w:rsid w:val="1E707ECB"/>
    <w:rsid w:val="1E817425"/>
    <w:rsid w:val="1E90231B"/>
    <w:rsid w:val="1EBA2EF4"/>
    <w:rsid w:val="1EBC43AC"/>
    <w:rsid w:val="1F354C71"/>
    <w:rsid w:val="1F3F789D"/>
    <w:rsid w:val="1F460C2C"/>
    <w:rsid w:val="1F4B7E4A"/>
    <w:rsid w:val="1F52137F"/>
    <w:rsid w:val="1F7F2436"/>
    <w:rsid w:val="1F86727A"/>
    <w:rsid w:val="1F923E71"/>
    <w:rsid w:val="1FC87893"/>
    <w:rsid w:val="1FCF6E73"/>
    <w:rsid w:val="1FD9558D"/>
    <w:rsid w:val="20337402"/>
    <w:rsid w:val="20541126"/>
    <w:rsid w:val="20601879"/>
    <w:rsid w:val="2080016D"/>
    <w:rsid w:val="20855A40"/>
    <w:rsid w:val="208C6B12"/>
    <w:rsid w:val="20A91472"/>
    <w:rsid w:val="20E57FD0"/>
    <w:rsid w:val="211F7986"/>
    <w:rsid w:val="21372198"/>
    <w:rsid w:val="216D6919"/>
    <w:rsid w:val="21894835"/>
    <w:rsid w:val="218E2416"/>
    <w:rsid w:val="21C5052E"/>
    <w:rsid w:val="21D50045"/>
    <w:rsid w:val="21EF529B"/>
    <w:rsid w:val="22092740"/>
    <w:rsid w:val="22097CEF"/>
    <w:rsid w:val="221B77D7"/>
    <w:rsid w:val="226E5B97"/>
    <w:rsid w:val="22903F40"/>
    <w:rsid w:val="22993768"/>
    <w:rsid w:val="22A13307"/>
    <w:rsid w:val="22A31EF1"/>
    <w:rsid w:val="22A7378F"/>
    <w:rsid w:val="22AD2D70"/>
    <w:rsid w:val="22B8599C"/>
    <w:rsid w:val="22BB3D01"/>
    <w:rsid w:val="22D5228D"/>
    <w:rsid w:val="23161155"/>
    <w:rsid w:val="2337380B"/>
    <w:rsid w:val="23641680"/>
    <w:rsid w:val="238E0DF3"/>
    <w:rsid w:val="2392443F"/>
    <w:rsid w:val="23C9261C"/>
    <w:rsid w:val="23DD6F13"/>
    <w:rsid w:val="23ED1676"/>
    <w:rsid w:val="23FD01D9"/>
    <w:rsid w:val="245B0CD5"/>
    <w:rsid w:val="248A5117"/>
    <w:rsid w:val="24B228BF"/>
    <w:rsid w:val="24C0322E"/>
    <w:rsid w:val="24C4748D"/>
    <w:rsid w:val="24E231A5"/>
    <w:rsid w:val="251175E6"/>
    <w:rsid w:val="25143E50"/>
    <w:rsid w:val="251B66B7"/>
    <w:rsid w:val="25311A36"/>
    <w:rsid w:val="2556149D"/>
    <w:rsid w:val="25630DB5"/>
    <w:rsid w:val="258E0C37"/>
    <w:rsid w:val="25CE54D7"/>
    <w:rsid w:val="25E215AF"/>
    <w:rsid w:val="25F34F3E"/>
    <w:rsid w:val="25FE400E"/>
    <w:rsid w:val="26217CFD"/>
    <w:rsid w:val="26243349"/>
    <w:rsid w:val="262A4E03"/>
    <w:rsid w:val="26C1503C"/>
    <w:rsid w:val="26F251F5"/>
    <w:rsid w:val="274516AA"/>
    <w:rsid w:val="27554102"/>
    <w:rsid w:val="275B723E"/>
    <w:rsid w:val="27675BE3"/>
    <w:rsid w:val="27790766"/>
    <w:rsid w:val="277B168E"/>
    <w:rsid w:val="279F537D"/>
    <w:rsid w:val="27C22E19"/>
    <w:rsid w:val="27CE17BE"/>
    <w:rsid w:val="27E47234"/>
    <w:rsid w:val="27F21951"/>
    <w:rsid w:val="28090A48"/>
    <w:rsid w:val="281A4A03"/>
    <w:rsid w:val="28247630"/>
    <w:rsid w:val="282633A8"/>
    <w:rsid w:val="2858552C"/>
    <w:rsid w:val="28926C90"/>
    <w:rsid w:val="2895052E"/>
    <w:rsid w:val="289522DC"/>
    <w:rsid w:val="28B07116"/>
    <w:rsid w:val="28BA1D43"/>
    <w:rsid w:val="28BE1833"/>
    <w:rsid w:val="28CA467C"/>
    <w:rsid w:val="29017971"/>
    <w:rsid w:val="29D46E34"/>
    <w:rsid w:val="29FC3F7F"/>
    <w:rsid w:val="2A571F3F"/>
    <w:rsid w:val="2A862824"/>
    <w:rsid w:val="2AAA6513"/>
    <w:rsid w:val="2B035C23"/>
    <w:rsid w:val="2B231E21"/>
    <w:rsid w:val="2B3B360F"/>
    <w:rsid w:val="2B427374"/>
    <w:rsid w:val="2B45623B"/>
    <w:rsid w:val="2B481888"/>
    <w:rsid w:val="2B6C5576"/>
    <w:rsid w:val="2B786611"/>
    <w:rsid w:val="2BC730F4"/>
    <w:rsid w:val="2BD82C0B"/>
    <w:rsid w:val="2BF33EE9"/>
    <w:rsid w:val="2BFD2672"/>
    <w:rsid w:val="2BFD6B16"/>
    <w:rsid w:val="2BFF63EA"/>
    <w:rsid w:val="2C35005E"/>
    <w:rsid w:val="2C7C7A3B"/>
    <w:rsid w:val="2C9D5C03"/>
    <w:rsid w:val="2CA62D0A"/>
    <w:rsid w:val="2CD06DD8"/>
    <w:rsid w:val="2CE4167D"/>
    <w:rsid w:val="2D0D2D89"/>
    <w:rsid w:val="2D202ABC"/>
    <w:rsid w:val="2D351DC0"/>
    <w:rsid w:val="2D3E73E6"/>
    <w:rsid w:val="2D460049"/>
    <w:rsid w:val="2D60068C"/>
    <w:rsid w:val="2D7B23E8"/>
    <w:rsid w:val="2D872B3B"/>
    <w:rsid w:val="2DA01E4F"/>
    <w:rsid w:val="2DC25921"/>
    <w:rsid w:val="2E0979F4"/>
    <w:rsid w:val="2E266F24"/>
    <w:rsid w:val="2E4427DA"/>
    <w:rsid w:val="2E67296D"/>
    <w:rsid w:val="2E81758A"/>
    <w:rsid w:val="2EA92D81"/>
    <w:rsid w:val="2EC90F31"/>
    <w:rsid w:val="2EE713B8"/>
    <w:rsid w:val="2F070BCC"/>
    <w:rsid w:val="2F102E4C"/>
    <w:rsid w:val="2FC07B82"/>
    <w:rsid w:val="2FC5794B"/>
    <w:rsid w:val="2FDB3000"/>
    <w:rsid w:val="2FE222AB"/>
    <w:rsid w:val="2FE37DD1"/>
    <w:rsid w:val="2FF16992"/>
    <w:rsid w:val="30020929"/>
    <w:rsid w:val="30095CB8"/>
    <w:rsid w:val="305B205D"/>
    <w:rsid w:val="30711881"/>
    <w:rsid w:val="307849BD"/>
    <w:rsid w:val="3089479E"/>
    <w:rsid w:val="310B75DF"/>
    <w:rsid w:val="31117149"/>
    <w:rsid w:val="31321010"/>
    <w:rsid w:val="316771C6"/>
    <w:rsid w:val="31886E82"/>
    <w:rsid w:val="31927D00"/>
    <w:rsid w:val="3196159F"/>
    <w:rsid w:val="319677F1"/>
    <w:rsid w:val="31A812D2"/>
    <w:rsid w:val="31AC0DC2"/>
    <w:rsid w:val="31B1462B"/>
    <w:rsid w:val="31B45575"/>
    <w:rsid w:val="31D245A1"/>
    <w:rsid w:val="31DC0F7C"/>
    <w:rsid w:val="31F6203D"/>
    <w:rsid w:val="32317519"/>
    <w:rsid w:val="326F125E"/>
    <w:rsid w:val="327775A4"/>
    <w:rsid w:val="32867865"/>
    <w:rsid w:val="32877139"/>
    <w:rsid w:val="32AE2918"/>
    <w:rsid w:val="32EE540A"/>
    <w:rsid w:val="33016EEC"/>
    <w:rsid w:val="3344502A"/>
    <w:rsid w:val="33684842"/>
    <w:rsid w:val="33792F26"/>
    <w:rsid w:val="33A37FA3"/>
    <w:rsid w:val="33B26438"/>
    <w:rsid w:val="33B45D0C"/>
    <w:rsid w:val="33B91F4C"/>
    <w:rsid w:val="33E16D1D"/>
    <w:rsid w:val="34012F1B"/>
    <w:rsid w:val="340D366E"/>
    <w:rsid w:val="34441786"/>
    <w:rsid w:val="34761214"/>
    <w:rsid w:val="349A75F8"/>
    <w:rsid w:val="349E5D58"/>
    <w:rsid w:val="34AE4E51"/>
    <w:rsid w:val="34C7361A"/>
    <w:rsid w:val="34E70363"/>
    <w:rsid w:val="34FA1E45"/>
    <w:rsid w:val="34FF745B"/>
    <w:rsid w:val="3518676F"/>
    <w:rsid w:val="35216B3A"/>
    <w:rsid w:val="352549E8"/>
    <w:rsid w:val="35780FBB"/>
    <w:rsid w:val="35A6162C"/>
    <w:rsid w:val="35B04BF9"/>
    <w:rsid w:val="35EF74CF"/>
    <w:rsid w:val="36221470"/>
    <w:rsid w:val="362C0724"/>
    <w:rsid w:val="362D1DA6"/>
    <w:rsid w:val="364916B9"/>
    <w:rsid w:val="3667350A"/>
    <w:rsid w:val="36A209E6"/>
    <w:rsid w:val="36B335DA"/>
    <w:rsid w:val="36E23B89"/>
    <w:rsid w:val="36E6780C"/>
    <w:rsid w:val="37070373"/>
    <w:rsid w:val="37404B77"/>
    <w:rsid w:val="37476E97"/>
    <w:rsid w:val="37682E1D"/>
    <w:rsid w:val="376D2DA2"/>
    <w:rsid w:val="379C5435"/>
    <w:rsid w:val="379F6CD3"/>
    <w:rsid w:val="37A4253C"/>
    <w:rsid w:val="37F708BD"/>
    <w:rsid w:val="3821593A"/>
    <w:rsid w:val="3825542A"/>
    <w:rsid w:val="383A69FC"/>
    <w:rsid w:val="383B3CC3"/>
    <w:rsid w:val="388303A3"/>
    <w:rsid w:val="389E51DD"/>
    <w:rsid w:val="38A26A7B"/>
    <w:rsid w:val="38B955D1"/>
    <w:rsid w:val="38BE762D"/>
    <w:rsid w:val="38CC7F9C"/>
    <w:rsid w:val="38CD4CAC"/>
    <w:rsid w:val="391E1E7A"/>
    <w:rsid w:val="394915ED"/>
    <w:rsid w:val="394A036E"/>
    <w:rsid w:val="394C2E8B"/>
    <w:rsid w:val="394F0285"/>
    <w:rsid w:val="39627FB8"/>
    <w:rsid w:val="39684FFA"/>
    <w:rsid w:val="39822409"/>
    <w:rsid w:val="39873EC3"/>
    <w:rsid w:val="398B750F"/>
    <w:rsid w:val="39B133CB"/>
    <w:rsid w:val="3A0177D1"/>
    <w:rsid w:val="3A7E0E22"/>
    <w:rsid w:val="3A940645"/>
    <w:rsid w:val="3B2969CB"/>
    <w:rsid w:val="3B491430"/>
    <w:rsid w:val="3B4E2EEA"/>
    <w:rsid w:val="3B7F1F51"/>
    <w:rsid w:val="3B8C30C5"/>
    <w:rsid w:val="3B9D61C5"/>
    <w:rsid w:val="3BB71A7C"/>
    <w:rsid w:val="3BBA232E"/>
    <w:rsid w:val="3BBB17DC"/>
    <w:rsid w:val="3BF07AFD"/>
    <w:rsid w:val="3C0D6901"/>
    <w:rsid w:val="3C1C08F2"/>
    <w:rsid w:val="3C636521"/>
    <w:rsid w:val="3CB21484"/>
    <w:rsid w:val="3D45031D"/>
    <w:rsid w:val="3D54230E"/>
    <w:rsid w:val="3D712EC0"/>
    <w:rsid w:val="3D87623F"/>
    <w:rsid w:val="3D98044D"/>
    <w:rsid w:val="3D9D3CB5"/>
    <w:rsid w:val="3DB1150E"/>
    <w:rsid w:val="3DFF04CC"/>
    <w:rsid w:val="3E047890"/>
    <w:rsid w:val="3E1F0B6E"/>
    <w:rsid w:val="3E29379B"/>
    <w:rsid w:val="3E691DE9"/>
    <w:rsid w:val="3E740EBA"/>
    <w:rsid w:val="3E7C1B1C"/>
    <w:rsid w:val="3E7C38CA"/>
    <w:rsid w:val="3E860BED"/>
    <w:rsid w:val="3E9450B8"/>
    <w:rsid w:val="3E970704"/>
    <w:rsid w:val="3E9A1FA2"/>
    <w:rsid w:val="3ED7217B"/>
    <w:rsid w:val="3EF45B57"/>
    <w:rsid w:val="3EF73899"/>
    <w:rsid w:val="3F2A77CA"/>
    <w:rsid w:val="3F316DAB"/>
    <w:rsid w:val="3F4E4BB7"/>
    <w:rsid w:val="3F6A6A9D"/>
    <w:rsid w:val="3FE94F8F"/>
    <w:rsid w:val="40355211"/>
    <w:rsid w:val="404D3498"/>
    <w:rsid w:val="405D772B"/>
    <w:rsid w:val="406665E0"/>
    <w:rsid w:val="408C5D5A"/>
    <w:rsid w:val="40CB6D8B"/>
    <w:rsid w:val="4105404B"/>
    <w:rsid w:val="410F3A7D"/>
    <w:rsid w:val="411A73CB"/>
    <w:rsid w:val="415D3E87"/>
    <w:rsid w:val="41720FB5"/>
    <w:rsid w:val="41831414"/>
    <w:rsid w:val="42162288"/>
    <w:rsid w:val="421D53C4"/>
    <w:rsid w:val="422406F0"/>
    <w:rsid w:val="4235270E"/>
    <w:rsid w:val="42360234"/>
    <w:rsid w:val="428611BC"/>
    <w:rsid w:val="42886C9F"/>
    <w:rsid w:val="428C60A6"/>
    <w:rsid w:val="42B15B0D"/>
    <w:rsid w:val="42ED2FE9"/>
    <w:rsid w:val="43081BD1"/>
    <w:rsid w:val="432664FB"/>
    <w:rsid w:val="432D7889"/>
    <w:rsid w:val="43503578"/>
    <w:rsid w:val="436458AA"/>
    <w:rsid w:val="43B753A5"/>
    <w:rsid w:val="43E066A9"/>
    <w:rsid w:val="43EA39CC"/>
    <w:rsid w:val="43F263DD"/>
    <w:rsid w:val="43F565F9"/>
    <w:rsid w:val="44565FEF"/>
    <w:rsid w:val="445826E4"/>
    <w:rsid w:val="445A0AE0"/>
    <w:rsid w:val="445D2C4C"/>
    <w:rsid w:val="446812D2"/>
    <w:rsid w:val="448F42CD"/>
    <w:rsid w:val="44A27E03"/>
    <w:rsid w:val="44C9538F"/>
    <w:rsid w:val="45101210"/>
    <w:rsid w:val="45156CF5"/>
    <w:rsid w:val="4568104C"/>
    <w:rsid w:val="458D0AB3"/>
    <w:rsid w:val="459743EE"/>
    <w:rsid w:val="45D3296A"/>
    <w:rsid w:val="45D71D2E"/>
    <w:rsid w:val="45E87A97"/>
    <w:rsid w:val="45FD1795"/>
    <w:rsid w:val="462431C5"/>
    <w:rsid w:val="46284338"/>
    <w:rsid w:val="46503FBA"/>
    <w:rsid w:val="46674E60"/>
    <w:rsid w:val="46BD0F24"/>
    <w:rsid w:val="46D06EA9"/>
    <w:rsid w:val="46F012F9"/>
    <w:rsid w:val="472D60AA"/>
    <w:rsid w:val="473867FC"/>
    <w:rsid w:val="473C62ED"/>
    <w:rsid w:val="477737C9"/>
    <w:rsid w:val="47867568"/>
    <w:rsid w:val="47DF6F81"/>
    <w:rsid w:val="47EE3067"/>
    <w:rsid w:val="47F72214"/>
    <w:rsid w:val="48082673"/>
    <w:rsid w:val="4839282C"/>
    <w:rsid w:val="48873598"/>
    <w:rsid w:val="48B40105"/>
    <w:rsid w:val="48BB1493"/>
    <w:rsid w:val="49211C3E"/>
    <w:rsid w:val="492139EC"/>
    <w:rsid w:val="492E7EB7"/>
    <w:rsid w:val="49463453"/>
    <w:rsid w:val="495F4514"/>
    <w:rsid w:val="496438D9"/>
    <w:rsid w:val="497A75A0"/>
    <w:rsid w:val="49804BB7"/>
    <w:rsid w:val="498174A7"/>
    <w:rsid w:val="49AA1C33"/>
    <w:rsid w:val="49BC54C3"/>
    <w:rsid w:val="49D7054F"/>
    <w:rsid w:val="49EC3FFA"/>
    <w:rsid w:val="4A153823"/>
    <w:rsid w:val="4A4D7344"/>
    <w:rsid w:val="4AE35423"/>
    <w:rsid w:val="4AE7656F"/>
    <w:rsid w:val="4B0C4228"/>
    <w:rsid w:val="4B3774F7"/>
    <w:rsid w:val="4B3D0885"/>
    <w:rsid w:val="4B4C2876"/>
    <w:rsid w:val="4B5F79FD"/>
    <w:rsid w:val="4B647BC0"/>
    <w:rsid w:val="4B6B53F2"/>
    <w:rsid w:val="4BDC7009"/>
    <w:rsid w:val="4BFC429C"/>
    <w:rsid w:val="4C1B2975"/>
    <w:rsid w:val="4C3E72B8"/>
    <w:rsid w:val="4C6D79C2"/>
    <w:rsid w:val="4C8229F4"/>
    <w:rsid w:val="4C883D82"/>
    <w:rsid w:val="4C8A5D4C"/>
    <w:rsid w:val="4CA7245A"/>
    <w:rsid w:val="4CA82437"/>
    <w:rsid w:val="4CC90623"/>
    <w:rsid w:val="4CE52F83"/>
    <w:rsid w:val="4D267823"/>
    <w:rsid w:val="4D2B5402"/>
    <w:rsid w:val="4D331F40"/>
    <w:rsid w:val="4D595308"/>
    <w:rsid w:val="4DA644C0"/>
    <w:rsid w:val="4DD0778F"/>
    <w:rsid w:val="4DF96CE5"/>
    <w:rsid w:val="4E121B55"/>
    <w:rsid w:val="4E140B6A"/>
    <w:rsid w:val="4E485577"/>
    <w:rsid w:val="4E796078"/>
    <w:rsid w:val="4EB14274"/>
    <w:rsid w:val="4EEB759A"/>
    <w:rsid w:val="4EFA0F67"/>
    <w:rsid w:val="4F343D4D"/>
    <w:rsid w:val="4F5F701C"/>
    <w:rsid w:val="4F7C7BCE"/>
    <w:rsid w:val="4F905428"/>
    <w:rsid w:val="4FD86DCF"/>
    <w:rsid w:val="5006393C"/>
    <w:rsid w:val="502C325A"/>
    <w:rsid w:val="505A0023"/>
    <w:rsid w:val="5066262C"/>
    <w:rsid w:val="508036EE"/>
    <w:rsid w:val="508857D5"/>
    <w:rsid w:val="50A15412"/>
    <w:rsid w:val="50CC6933"/>
    <w:rsid w:val="50E83041"/>
    <w:rsid w:val="50EF617E"/>
    <w:rsid w:val="50FB4B23"/>
    <w:rsid w:val="510D4856"/>
    <w:rsid w:val="510F6820"/>
    <w:rsid w:val="5156444F"/>
    <w:rsid w:val="51583D23"/>
    <w:rsid w:val="517E7983"/>
    <w:rsid w:val="5196484B"/>
    <w:rsid w:val="51BA49DE"/>
    <w:rsid w:val="51BD2EC4"/>
    <w:rsid w:val="526346D9"/>
    <w:rsid w:val="526768C5"/>
    <w:rsid w:val="526B217C"/>
    <w:rsid w:val="528024FB"/>
    <w:rsid w:val="5285323E"/>
    <w:rsid w:val="52860D64"/>
    <w:rsid w:val="529139E8"/>
    <w:rsid w:val="52A336C4"/>
    <w:rsid w:val="52A64F62"/>
    <w:rsid w:val="52C8137C"/>
    <w:rsid w:val="52D7511B"/>
    <w:rsid w:val="52DC2732"/>
    <w:rsid w:val="52FA333D"/>
    <w:rsid w:val="5337070E"/>
    <w:rsid w:val="533B3627"/>
    <w:rsid w:val="533C1422"/>
    <w:rsid w:val="53746E0E"/>
    <w:rsid w:val="537868FE"/>
    <w:rsid w:val="53C2401E"/>
    <w:rsid w:val="53DA4EC3"/>
    <w:rsid w:val="53F87A3F"/>
    <w:rsid w:val="541D3002"/>
    <w:rsid w:val="541F6242"/>
    <w:rsid w:val="543640C4"/>
    <w:rsid w:val="543E68E8"/>
    <w:rsid w:val="5474356A"/>
    <w:rsid w:val="547A0454"/>
    <w:rsid w:val="54A61249"/>
    <w:rsid w:val="54B90F7D"/>
    <w:rsid w:val="54E029AD"/>
    <w:rsid w:val="54E3424B"/>
    <w:rsid w:val="54EB1352"/>
    <w:rsid w:val="55006BAB"/>
    <w:rsid w:val="559B68D4"/>
    <w:rsid w:val="55E55DA1"/>
    <w:rsid w:val="55F935FB"/>
    <w:rsid w:val="5604091D"/>
    <w:rsid w:val="56303FDF"/>
    <w:rsid w:val="56A874FB"/>
    <w:rsid w:val="56BC4E15"/>
    <w:rsid w:val="56D025AE"/>
    <w:rsid w:val="56DF6C95"/>
    <w:rsid w:val="56E16569"/>
    <w:rsid w:val="56E524FD"/>
    <w:rsid w:val="56F24C1A"/>
    <w:rsid w:val="570109B9"/>
    <w:rsid w:val="57077B11"/>
    <w:rsid w:val="575612E0"/>
    <w:rsid w:val="575E2A44"/>
    <w:rsid w:val="577959FD"/>
    <w:rsid w:val="57CB6E0C"/>
    <w:rsid w:val="57ED2E88"/>
    <w:rsid w:val="581035A9"/>
    <w:rsid w:val="583062CE"/>
    <w:rsid w:val="584B45E2"/>
    <w:rsid w:val="586D09FC"/>
    <w:rsid w:val="587651AC"/>
    <w:rsid w:val="58773629"/>
    <w:rsid w:val="5878627D"/>
    <w:rsid w:val="588261A9"/>
    <w:rsid w:val="58883F2F"/>
    <w:rsid w:val="58BA1767"/>
    <w:rsid w:val="58BE1257"/>
    <w:rsid w:val="58C425E6"/>
    <w:rsid w:val="58D97D6C"/>
    <w:rsid w:val="58F05189"/>
    <w:rsid w:val="58F24A5D"/>
    <w:rsid w:val="58FA6008"/>
    <w:rsid w:val="592310BA"/>
    <w:rsid w:val="59254E33"/>
    <w:rsid w:val="5932754F"/>
    <w:rsid w:val="59383719"/>
    <w:rsid w:val="594302D2"/>
    <w:rsid w:val="594F1EAF"/>
    <w:rsid w:val="59592D2E"/>
    <w:rsid w:val="59615F2E"/>
    <w:rsid w:val="597731B4"/>
    <w:rsid w:val="59815DE1"/>
    <w:rsid w:val="598B403E"/>
    <w:rsid w:val="59945B14"/>
    <w:rsid w:val="599A0D54"/>
    <w:rsid w:val="59C503C4"/>
    <w:rsid w:val="59D625D1"/>
    <w:rsid w:val="59FD190B"/>
    <w:rsid w:val="5A1B4488"/>
    <w:rsid w:val="5A3612C1"/>
    <w:rsid w:val="5A3D7B18"/>
    <w:rsid w:val="5A625C12"/>
    <w:rsid w:val="5A7140A7"/>
    <w:rsid w:val="5AAE0E58"/>
    <w:rsid w:val="5AB52F4E"/>
    <w:rsid w:val="5ABF3065"/>
    <w:rsid w:val="5ADA0244"/>
    <w:rsid w:val="5AE6087D"/>
    <w:rsid w:val="5AEB5C08"/>
    <w:rsid w:val="5B0311A3"/>
    <w:rsid w:val="5B242EC8"/>
    <w:rsid w:val="5B303F63"/>
    <w:rsid w:val="5B371FF7"/>
    <w:rsid w:val="5B3C4B26"/>
    <w:rsid w:val="5B4B2B4A"/>
    <w:rsid w:val="5B6A7475"/>
    <w:rsid w:val="5B7B5AF5"/>
    <w:rsid w:val="5B8A5421"/>
    <w:rsid w:val="5C1473E0"/>
    <w:rsid w:val="5C1C68C8"/>
    <w:rsid w:val="5C270EC2"/>
    <w:rsid w:val="5C311D40"/>
    <w:rsid w:val="5C3929A3"/>
    <w:rsid w:val="5C761E49"/>
    <w:rsid w:val="5CA359C0"/>
    <w:rsid w:val="5CDA4186"/>
    <w:rsid w:val="5CE40B61"/>
    <w:rsid w:val="5D121B72"/>
    <w:rsid w:val="5D7967F9"/>
    <w:rsid w:val="5DA16A52"/>
    <w:rsid w:val="5DCA244C"/>
    <w:rsid w:val="5E280F21"/>
    <w:rsid w:val="5E59732C"/>
    <w:rsid w:val="5E5B30A5"/>
    <w:rsid w:val="5EA762EA"/>
    <w:rsid w:val="5EB31543"/>
    <w:rsid w:val="5ECC5D50"/>
    <w:rsid w:val="5EE4753E"/>
    <w:rsid w:val="5F2142EE"/>
    <w:rsid w:val="5F630463"/>
    <w:rsid w:val="5F702B80"/>
    <w:rsid w:val="5F8A1E93"/>
    <w:rsid w:val="5FBA3DFB"/>
    <w:rsid w:val="5FCD1D80"/>
    <w:rsid w:val="5FEB2206"/>
    <w:rsid w:val="5FF23595"/>
    <w:rsid w:val="606C1599"/>
    <w:rsid w:val="6074044E"/>
    <w:rsid w:val="60B42F40"/>
    <w:rsid w:val="60BD0047"/>
    <w:rsid w:val="60C2565D"/>
    <w:rsid w:val="60E008A9"/>
    <w:rsid w:val="610E43FE"/>
    <w:rsid w:val="614E0C9F"/>
    <w:rsid w:val="6155202D"/>
    <w:rsid w:val="616404C2"/>
    <w:rsid w:val="61905473"/>
    <w:rsid w:val="61A134C4"/>
    <w:rsid w:val="61A3723C"/>
    <w:rsid w:val="61C3168D"/>
    <w:rsid w:val="62516C98"/>
    <w:rsid w:val="62967EC8"/>
    <w:rsid w:val="62A52B40"/>
    <w:rsid w:val="62B33E70"/>
    <w:rsid w:val="62C05BCC"/>
    <w:rsid w:val="62C90F25"/>
    <w:rsid w:val="62CC4571"/>
    <w:rsid w:val="62D84CC4"/>
    <w:rsid w:val="630261E5"/>
    <w:rsid w:val="63193F43"/>
    <w:rsid w:val="6367429A"/>
    <w:rsid w:val="637846F9"/>
    <w:rsid w:val="638D6ECA"/>
    <w:rsid w:val="63AE2A15"/>
    <w:rsid w:val="63DD630A"/>
    <w:rsid w:val="641C32D6"/>
    <w:rsid w:val="6424218B"/>
    <w:rsid w:val="64D37DEA"/>
    <w:rsid w:val="654F4FE5"/>
    <w:rsid w:val="655F16CC"/>
    <w:rsid w:val="65646CE3"/>
    <w:rsid w:val="656767D3"/>
    <w:rsid w:val="65A215B9"/>
    <w:rsid w:val="65D976D1"/>
    <w:rsid w:val="65F13BD8"/>
    <w:rsid w:val="65F91B21"/>
    <w:rsid w:val="661204ED"/>
    <w:rsid w:val="6635067F"/>
    <w:rsid w:val="66524D8D"/>
    <w:rsid w:val="6655487D"/>
    <w:rsid w:val="66871EA3"/>
    <w:rsid w:val="668D04BB"/>
    <w:rsid w:val="66A762C2"/>
    <w:rsid w:val="66B617C0"/>
    <w:rsid w:val="66C0619B"/>
    <w:rsid w:val="66D165FA"/>
    <w:rsid w:val="66FB4C46"/>
    <w:rsid w:val="672C3830"/>
    <w:rsid w:val="676236F6"/>
    <w:rsid w:val="67F307F2"/>
    <w:rsid w:val="68420E31"/>
    <w:rsid w:val="68497557"/>
    <w:rsid w:val="68B65AA7"/>
    <w:rsid w:val="68DE0B5A"/>
    <w:rsid w:val="68F93BE6"/>
    <w:rsid w:val="68FD36D6"/>
    <w:rsid w:val="691A5C56"/>
    <w:rsid w:val="69224EEB"/>
    <w:rsid w:val="695A0B28"/>
    <w:rsid w:val="697F058F"/>
    <w:rsid w:val="699102C2"/>
    <w:rsid w:val="69F17170"/>
    <w:rsid w:val="69F645CB"/>
    <w:rsid w:val="69FD7706"/>
    <w:rsid w:val="6A070584"/>
    <w:rsid w:val="6A1B7B8C"/>
    <w:rsid w:val="6A232922"/>
    <w:rsid w:val="6A906F5C"/>
    <w:rsid w:val="6AA656A7"/>
    <w:rsid w:val="6AB73D58"/>
    <w:rsid w:val="6AC975E8"/>
    <w:rsid w:val="6AD55F8D"/>
    <w:rsid w:val="6B15282D"/>
    <w:rsid w:val="6B264B93"/>
    <w:rsid w:val="6B6F1F3D"/>
    <w:rsid w:val="6B7617CF"/>
    <w:rsid w:val="6B827C66"/>
    <w:rsid w:val="6B9B0F84"/>
    <w:rsid w:val="6BBF2EC5"/>
    <w:rsid w:val="6BC95AF1"/>
    <w:rsid w:val="6BCA186A"/>
    <w:rsid w:val="6BCF0C2E"/>
    <w:rsid w:val="6BDF5315"/>
    <w:rsid w:val="6BF84629"/>
    <w:rsid w:val="6C276CBC"/>
    <w:rsid w:val="6C477830"/>
    <w:rsid w:val="6C8B0FF9"/>
    <w:rsid w:val="6CA1081C"/>
    <w:rsid w:val="6CDA3D2E"/>
    <w:rsid w:val="6CF070AE"/>
    <w:rsid w:val="6D192AA9"/>
    <w:rsid w:val="6D3451EC"/>
    <w:rsid w:val="6D5E670D"/>
    <w:rsid w:val="6D633D24"/>
    <w:rsid w:val="6D9E2FAE"/>
    <w:rsid w:val="6DCF4F15"/>
    <w:rsid w:val="6DE74955"/>
    <w:rsid w:val="6DFB21AE"/>
    <w:rsid w:val="6E0077C5"/>
    <w:rsid w:val="6E027099"/>
    <w:rsid w:val="6E184B0E"/>
    <w:rsid w:val="6E4F6056"/>
    <w:rsid w:val="6E9543B1"/>
    <w:rsid w:val="6EBC5389"/>
    <w:rsid w:val="6ED8429D"/>
    <w:rsid w:val="6ED924EF"/>
    <w:rsid w:val="6F0357BE"/>
    <w:rsid w:val="6F1B2B08"/>
    <w:rsid w:val="6F887A72"/>
    <w:rsid w:val="6FAA5C3A"/>
    <w:rsid w:val="70313C65"/>
    <w:rsid w:val="70514307"/>
    <w:rsid w:val="7055204A"/>
    <w:rsid w:val="708244C1"/>
    <w:rsid w:val="70E1568B"/>
    <w:rsid w:val="70F76C5D"/>
    <w:rsid w:val="70FF5B11"/>
    <w:rsid w:val="71105F71"/>
    <w:rsid w:val="711200BC"/>
    <w:rsid w:val="711F4406"/>
    <w:rsid w:val="7148570A"/>
    <w:rsid w:val="71B608C6"/>
    <w:rsid w:val="71D84CE0"/>
    <w:rsid w:val="71E35433"/>
    <w:rsid w:val="71EC078C"/>
    <w:rsid w:val="72162CD1"/>
    <w:rsid w:val="7229553C"/>
    <w:rsid w:val="724203AC"/>
    <w:rsid w:val="73175EDC"/>
    <w:rsid w:val="731F06ED"/>
    <w:rsid w:val="735008A6"/>
    <w:rsid w:val="737722D7"/>
    <w:rsid w:val="73A66718"/>
    <w:rsid w:val="73FB2F08"/>
    <w:rsid w:val="73FE6554"/>
    <w:rsid w:val="743B50B2"/>
    <w:rsid w:val="744523D5"/>
    <w:rsid w:val="747E1443"/>
    <w:rsid w:val="74C652C4"/>
    <w:rsid w:val="74E4574A"/>
    <w:rsid w:val="74EB4D2A"/>
    <w:rsid w:val="75104791"/>
    <w:rsid w:val="7535244A"/>
    <w:rsid w:val="753C7334"/>
    <w:rsid w:val="75681E19"/>
    <w:rsid w:val="758E3908"/>
    <w:rsid w:val="75986535"/>
    <w:rsid w:val="75AF5D58"/>
    <w:rsid w:val="75B55338"/>
    <w:rsid w:val="75F220E9"/>
    <w:rsid w:val="75FD596C"/>
    <w:rsid w:val="761262E7"/>
    <w:rsid w:val="761B33ED"/>
    <w:rsid w:val="762736FF"/>
    <w:rsid w:val="762A1882"/>
    <w:rsid w:val="765D3A06"/>
    <w:rsid w:val="766823AB"/>
    <w:rsid w:val="76B34DC5"/>
    <w:rsid w:val="76EC1C3D"/>
    <w:rsid w:val="772E00BE"/>
    <w:rsid w:val="775A1CF3"/>
    <w:rsid w:val="775B5A6C"/>
    <w:rsid w:val="77737259"/>
    <w:rsid w:val="77B91110"/>
    <w:rsid w:val="77BA5DC7"/>
    <w:rsid w:val="77DA1086"/>
    <w:rsid w:val="77FC2DAB"/>
    <w:rsid w:val="7859644F"/>
    <w:rsid w:val="78AE679B"/>
    <w:rsid w:val="78FF6FF6"/>
    <w:rsid w:val="79022643"/>
    <w:rsid w:val="792702FB"/>
    <w:rsid w:val="792E51E6"/>
    <w:rsid w:val="79352A18"/>
    <w:rsid w:val="79492020"/>
    <w:rsid w:val="79690914"/>
    <w:rsid w:val="79856DD0"/>
    <w:rsid w:val="79966898"/>
    <w:rsid w:val="79A47B9E"/>
    <w:rsid w:val="79A67472"/>
    <w:rsid w:val="79E306C6"/>
    <w:rsid w:val="79F53F55"/>
    <w:rsid w:val="7A2D1941"/>
    <w:rsid w:val="7A2D7B93"/>
    <w:rsid w:val="7A4B0019"/>
    <w:rsid w:val="7A4D5B40"/>
    <w:rsid w:val="7A6115EB"/>
    <w:rsid w:val="7A756E44"/>
    <w:rsid w:val="7AA5597C"/>
    <w:rsid w:val="7AB84E03"/>
    <w:rsid w:val="7ACB4CB6"/>
    <w:rsid w:val="7AEA7832"/>
    <w:rsid w:val="7AF44B79"/>
    <w:rsid w:val="7B1623D5"/>
    <w:rsid w:val="7B743384"/>
    <w:rsid w:val="7B762E74"/>
    <w:rsid w:val="7BBD6CF5"/>
    <w:rsid w:val="7BBF2A6D"/>
    <w:rsid w:val="7BE67FFA"/>
    <w:rsid w:val="7C014E34"/>
    <w:rsid w:val="7C0C5586"/>
    <w:rsid w:val="7C372603"/>
    <w:rsid w:val="7C3D3992"/>
    <w:rsid w:val="7C4B60AF"/>
    <w:rsid w:val="7C574A54"/>
    <w:rsid w:val="7CA11E26"/>
    <w:rsid w:val="7CB579CC"/>
    <w:rsid w:val="7CBB76D8"/>
    <w:rsid w:val="7CC85951"/>
    <w:rsid w:val="7CED7166"/>
    <w:rsid w:val="7CF90BE0"/>
    <w:rsid w:val="7D23702C"/>
    <w:rsid w:val="7D5B67C5"/>
    <w:rsid w:val="7D5D42EC"/>
    <w:rsid w:val="7D6E2861"/>
    <w:rsid w:val="7DAF266D"/>
    <w:rsid w:val="7DCB482D"/>
    <w:rsid w:val="7DF804B8"/>
    <w:rsid w:val="7E837D82"/>
    <w:rsid w:val="7EB10D93"/>
    <w:rsid w:val="7EB50157"/>
    <w:rsid w:val="7EB73ECF"/>
    <w:rsid w:val="7EC42148"/>
    <w:rsid w:val="7EC81C39"/>
    <w:rsid w:val="7ECD36F3"/>
    <w:rsid w:val="7ED1296E"/>
    <w:rsid w:val="7F160BF6"/>
    <w:rsid w:val="7F272E03"/>
    <w:rsid w:val="7F6D458E"/>
    <w:rsid w:val="7F761695"/>
    <w:rsid w:val="7F8E2E82"/>
    <w:rsid w:val="7FA06540"/>
    <w:rsid w:val="7FA95021"/>
    <w:rsid w:val="7FB0104A"/>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paragraph" w:styleId="3">
    <w:name w:val="heading 1"/>
    <w:basedOn w:val="1"/>
    <w:next w:val="1"/>
    <w:qFormat/>
    <w:uiPriority w:val="9"/>
    <w:pPr>
      <w:spacing w:before="1"/>
      <w:ind w:left="138"/>
      <w:jc w:val="left"/>
      <w:outlineLvl w:val="0"/>
    </w:pPr>
    <w:rPr>
      <w:rFonts w:ascii="黑体" w:hAnsi="黑体" w:eastAsia="黑体"/>
      <w:b/>
      <w:bCs/>
      <w:kern w:val="0"/>
      <w:sz w:val="32"/>
      <w:szCs w:val="32"/>
      <w:lang w:eastAsia="en-US"/>
    </w:rPr>
  </w:style>
  <w:style w:type="paragraph" w:styleId="4">
    <w:name w:val="heading 3"/>
    <w:basedOn w:val="1"/>
    <w:next w:val="1"/>
    <w:qFormat/>
    <w:uiPriority w:val="9"/>
    <w:pPr>
      <w:keepNext/>
      <w:keepLines/>
      <w:spacing w:before="20" w:beforeLines="20" w:after="20" w:afterLines="20" w:line="240" w:lineRule="auto"/>
      <w:outlineLvl w:val="2"/>
    </w:pPr>
    <w:rPr>
      <w:rFonts w:eastAsia="方正仿宋简体" w:cs="Times New Roman"/>
      <w:bCs/>
      <w:sz w:val="32"/>
      <w:szCs w:val="32"/>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Indent 2"/>
    <w:basedOn w:val="1"/>
    <w:unhideWhenUsed/>
    <w:qFormat/>
    <w:uiPriority w:val="0"/>
    <w:pPr>
      <w:spacing w:beforeLines="0" w:after="120" w:afterLines="0" w:line="480" w:lineRule="auto"/>
      <w:ind w:left="420" w:leftChars="200"/>
    </w:pPr>
    <w:rPr>
      <w:rFonts w:hint="default"/>
      <w:sz w:val="21"/>
      <w:szCs w:val="22"/>
    </w:rPr>
  </w:style>
  <w:style w:type="paragraph" w:styleId="6">
    <w:name w:val="Body Text"/>
    <w:basedOn w:val="1"/>
    <w:next w:val="7"/>
    <w:qFormat/>
    <w:uiPriority w:val="0"/>
    <w:rPr>
      <w:rFonts w:ascii="Times New Roman" w:hAnsi="Times New Roman" w:eastAsia="方正仿宋简体" w:cs="Times New Roman"/>
      <w:sz w:val="32"/>
      <w:szCs w:val="24"/>
    </w:rPr>
  </w:style>
  <w:style w:type="paragraph" w:styleId="7">
    <w:name w:val="Body Text 2"/>
    <w:basedOn w:val="1"/>
    <w:qFormat/>
    <w:uiPriority w:val="0"/>
    <w:pPr>
      <w:widowControl/>
      <w:spacing w:line="360" w:lineRule="auto"/>
      <w:ind w:firstLine="480" w:firstLineChars="200"/>
      <w:jc w:val="left"/>
    </w:pPr>
    <w:rPr>
      <w:sz w:val="24"/>
    </w:r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1">
    <w:name w:val="Strong"/>
    <w:basedOn w:val="10"/>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35</Pages>
  <Words>15151</Words>
  <Characters>15786</Characters>
  <Lines>0</Lines>
  <Paragraphs>0</Paragraphs>
  <TotalTime>0</TotalTime>
  <ScaleCrop>false</ScaleCrop>
  <LinksUpToDate>false</LinksUpToDate>
  <CharactersWithSpaces>15892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2025-03-03T02:34:00Z</dcterms:created>
  <dc:creator>Administrator</dc:creator>
  <cp:lastModifiedBy>。</cp:lastModifiedBy>
  <cp:lastPrinted>2025-03-28T04:16:39Z</cp:lastPrinted>
  <dcterms:modified xsi:type="dcterms:W3CDTF">2025-03-28T04:18:25Z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eyJoZGlkIjoiYmI5YzZlZWJmZDYwMGI1YmY2MmNlYzI2ZmY5MWM2NDYiLCJ1c2VySWQiOiIyNDQ2OTg5MTYifQ==</vt:lpwstr>
  </property>
  <property fmtid="{D5CDD505-2E9C-101B-9397-08002B2CF9AE}" pid="4" name="ICV">
    <vt:lpwstr>74532BF4F6F64277B7742CC41D0D4F37_12</vt:lpwstr>
  </property>
</Properties>
</file>